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10A" w:rsidRDefault="00CF3E9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40716</wp:posOffset>
                </wp:positionH>
                <wp:positionV relativeFrom="paragraph">
                  <wp:posOffset>-46990</wp:posOffset>
                </wp:positionV>
                <wp:extent cx="607162" cy="467843"/>
                <wp:effectExtent l="0" t="0" r="2540" b="889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62" cy="4678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E9A" w:rsidRPr="00CF3E9A" w:rsidRDefault="00CF3E9A">
                            <w:pPr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  <w:r w:rsidRPr="00CF3E9A"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2pt;margin-top:-3.7pt;width:47.8pt;height:36.8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" fillcolor="white [3201]" stroked="f" strokeweight=".5pt">
                <v:textbox inset="0,0,0,0">
                  <w:txbxContent>
                    <w:p w:rsidR="00CF3E9A" w:rsidRPr="00CF3E9A" w:rsidRDefault="00CF3E9A">
                      <w:pPr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  <w:r w:rsidRPr="00CF3E9A"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EF410A" w:rsidRDefault="00EF410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-4826</wp:posOffset>
            </wp:positionH>
            <wp:positionV relativeFrom="paragraph">
              <wp:posOffset>140792</wp:posOffset>
            </wp:positionV>
            <wp:extent cx="9777730" cy="3350895"/>
            <wp:effectExtent l="0" t="0" r="0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3350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410A" w:rsidRDefault="00EF410A"/>
    <w:p w:rsidR="00EF410A" w:rsidRDefault="00EF410A"/>
    <w:p w:rsidR="00EF410A" w:rsidRDefault="00EF410A"/>
    <w:p w:rsidR="00EF410A" w:rsidRDefault="00EF410A"/>
    <w:p w:rsidR="00EF410A" w:rsidRDefault="00EF410A"/>
    <w:p w:rsidR="00EF410A" w:rsidRDefault="00EF410A"/>
    <w:p w:rsidR="00EF410A" w:rsidRDefault="00EF410A"/>
    <w:p w:rsidR="00EF410A" w:rsidRDefault="00EF410A"/>
    <w:p w:rsidR="00EF410A" w:rsidRDefault="00EF410A"/>
    <w:p w:rsidR="00EF410A" w:rsidRDefault="00EF410A"/>
    <w:p w:rsidR="00EF410A" w:rsidRDefault="00EF410A"/>
    <w:p w:rsidR="00EF410A" w:rsidRDefault="00EF410A"/>
    <w:p w:rsidR="00EF410A" w:rsidRDefault="00EF410A"/>
    <w:p w:rsidR="00EF410A" w:rsidRDefault="00EF410A"/>
    <w:p w:rsidR="00EF410A" w:rsidRDefault="00EF410A" w:rsidP="00EF410A">
      <w:pPr>
        <w:spacing w:line="220" w:lineRule="exact"/>
      </w:pPr>
    </w:p>
    <w:tbl>
      <w:tblPr>
        <w:tblW w:w="15160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80"/>
        <w:gridCol w:w="6680"/>
      </w:tblGrid>
      <w:tr w:rsidR="001A477A" w:rsidRPr="001A477A" w:rsidTr="001A477A">
        <w:trPr>
          <w:trHeight w:val="300"/>
        </w:trPr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PA34_RS15475: 2-oxoisovalerate dehydrogenase subunit beta, 350aa  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PA34_RS15535: hypothetical protein, 180aa</w:t>
            </w:r>
          </w:p>
        </w:tc>
      </w:tr>
      <w:tr w:rsidR="001A477A" w:rsidRPr="001A477A" w:rsidTr="001A477A">
        <w:trPr>
          <w:trHeight w:val="30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PA34_RS15480: 3-methyl-2-oxobutanoate dehydrogenase (2-methylpropanoyl-transferring) subunit alpha, 410aa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PA34_RS15540: hypothetical protein, 63aa           </w:t>
            </w:r>
          </w:p>
        </w:tc>
      </w:tr>
      <w:tr w:rsidR="001A477A" w:rsidRPr="001A477A" w:rsidTr="001A477A">
        <w:trPr>
          <w:trHeight w:val="30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PA34_RS15485: Bkd operon transcriptional regulator, 153aa 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PA34_RS15545: hypothetical protein, 81aa  </w:t>
            </w:r>
          </w:p>
        </w:tc>
      </w:tr>
      <w:tr w:rsidR="001A477A" w:rsidRPr="001A477A" w:rsidTr="001A477A">
        <w:trPr>
          <w:trHeight w:val="30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PA34_RS15490: inner centromere protein, 97aa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PA34_RS15550: DUF3883 domain-containing protein, 378aa </w:t>
            </w:r>
          </w:p>
        </w:tc>
      </w:tr>
      <w:tr w:rsidR="001A477A" w:rsidRPr="001A477A" w:rsidTr="001A477A">
        <w:trPr>
          <w:trHeight w:val="30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PA34_RS15495: DNA topoisomerase IB, 333aa  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PA34_RS15555: Pseudo, IS1182-like element ISCfr1 family transposase, 1371nt</w:t>
            </w:r>
          </w:p>
        </w:tc>
      </w:tr>
      <w:tr w:rsidR="001A477A" w:rsidRPr="001A477A" w:rsidTr="001A477A">
        <w:trPr>
          <w:trHeight w:val="30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PA34_RS15500: FAD-dependent oxidoreductase, 577aa  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PA34_RS15560: Pseudo, Partial stop, glycosyltransferase, 960nt </w:t>
            </w:r>
          </w:p>
        </w:tc>
      </w:tr>
      <w:tr w:rsidR="001A477A" w:rsidRPr="001A477A" w:rsidTr="001A477A">
        <w:trPr>
          <w:trHeight w:val="30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PA34_RS15505: acyltransferase family protein, 355aa 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PA34_RS15565: biofilm formation protein PslG, 442aa </w:t>
            </w:r>
          </w:p>
        </w:tc>
      </w:tr>
      <w:tr w:rsidR="001A477A" w:rsidRPr="001A477A" w:rsidTr="001A477A">
        <w:trPr>
          <w:trHeight w:val="30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PA34_RS15510: membrane protein, 469aa   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PA34_RS15570: glycosyltransferase, 395aa</w:t>
            </w:r>
          </w:p>
        </w:tc>
      </w:tr>
      <w:tr w:rsidR="001A477A" w:rsidRPr="001A477A" w:rsidTr="001A477A">
        <w:trPr>
          <w:trHeight w:val="30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PA34_RS15515: biofilm formation protein PslJ, 478aa 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PA34_RS15575: biofilm formation protein PslE, 662aa </w:t>
            </w:r>
          </w:p>
        </w:tc>
      </w:tr>
      <w:tr w:rsidR="001A477A" w:rsidRPr="001A477A" w:rsidTr="001A477A">
        <w:trPr>
          <w:trHeight w:val="30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PA34_RS15520: glycosyltransferase family 1 protein, 367aa  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PA34_RS15580: polysaccharide export protein, 256aa </w:t>
            </w:r>
          </w:p>
        </w:tc>
      </w:tr>
      <w:tr w:rsidR="001A477A" w:rsidRPr="001A477A" w:rsidTr="001A477A">
        <w:trPr>
          <w:trHeight w:val="30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PA34_RS15525: Pseudo, Partial start, glycosyltransferase family 1 protein, 279nt   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PA34_RS15585: glycosyltransferase family 2 protein, 303aa    </w:t>
            </w:r>
          </w:p>
        </w:tc>
      </w:tr>
      <w:tr w:rsidR="001A477A" w:rsidRPr="00967663" w:rsidTr="001A477A">
        <w:trPr>
          <w:trHeight w:val="300"/>
        </w:trPr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rPr>
                <w:rFonts w:ascii="Times New Roman" w:eastAsia="ＭＳ Ｐゴシック" w:hAnsi="Times New Roman" w:cs="Times New Roman"/>
                <w:color w:val="FF0000"/>
                <w:kern w:val="0"/>
                <w:sz w:val="18"/>
                <w:szCs w:val="18"/>
              </w:rPr>
            </w:pPr>
            <w:r w:rsidRPr="001A477A">
              <w:rPr>
                <w:rFonts w:ascii="Times New Roman" w:eastAsia="ＭＳ Ｐゴシック" w:hAnsi="Times New Roman" w:cs="Times New Roman"/>
                <w:color w:val="FF0000"/>
                <w:kern w:val="0"/>
                <w:sz w:val="18"/>
                <w:szCs w:val="18"/>
              </w:rPr>
              <w:t xml:space="preserve">PA34_RS15530: aminoglycoside N-acetyltransferase AAC(3)-IId, 286aa  </w:t>
            </w:r>
            <w:r w:rsidRPr="001A477A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                                                        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77A" w:rsidRPr="001A477A" w:rsidRDefault="001A477A" w:rsidP="001A477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A477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74C32" w:rsidRDefault="00574C32" w:rsidP="00574C3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470F7CC" wp14:editId="5CDF3B1A">
                <wp:simplePos x="0" y="0"/>
                <wp:positionH relativeFrom="column">
                  <wp:posOffset>31369</wp:posOffset>
                </wp:positionH>
                <wp:positionV relativeFrom="paragraph">
                  <wp:posOffset>-99237</wp:posOffset>
                </wp:positionV>
                <wp:extent cx="607162" cy="467843"/>
                <wp:effectExtent l="0" t="0" r="2540" b="889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62" cy="4678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C32" w:rsidRPr="00CF3E9A" w:rsidRDefault="00574C32" w:rsidP="00574C32">
                            <w:pPr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0F7CC" id="テキスト ボックス 4" o:spid="_x0000_s1027" type="#_x0000_t202" style="position:absolute;left:0;text-align:left;margin-left:2.45pt;margin-top:-7.8pt;width:47.8pt;height:3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" fillcolor="white [3201]" stroked="f" strokeweight=".5pt">
                <v:textbox inset="0,0,0,0">
                  <w:txbxContent>
                    <w:p w:rsidR="00574C32" w:rsidRPr="00CF3E9A" w:rsidRDefault="00574C32" w:rsidP="00574C32">
                      <w:pPr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574C32" w:rsidRDefault="00574C32" w:rsidP="00574C32">
      <w:r>
        <w:rPr>
          <w:noProof/>
        </w:rPr>
        <w:drawing>
          <wp:anchor distT="0" distB="0" distL="114300" distR="114300" simplePos="0" relativeHeight="251661312" behindDoc="0" locked="0" layoutInCell="1" allowOverlap="1" wp14:anchorId="571EB032" wp14:editId="4F5A6560">
            <wp:simplePos x="0" y="0"/>
            <wp:positionH relativeFrom="column">
              <wp:posOffset>0</wp:posOffset>
            </wp:positionH>
            <wp:positionV relativeFrom="paragraph">
              <wp:posOffset>86259</wp:posOffset>
            </wp:positionV>
            <wp:extent cx="9777730" cy="1805305"/>
            <wp:effectExtent l="0" t="0" r="0" b="444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1805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4C32" w:rsidRDefault="00574C32" w:rsidP="00574C32"/>
    <w:p w:rsidR="00574C32" w:rsidRDefault="00574C32" w:rsidP="00574C32"/>
    <w:p w:rsidR="00574C32" w:rsidRDefault="00574C32" w:rsidP="00574C32"/>
    <w:p w:rsidR="00574C32" w:rsidRDefault="00574C32" w:rsidP="00574C32"/>
    <w:p w:rsidR="00574C32" w:rsidRDefault="00574C32" w:rsidP="00574C32"/>
    <w:p w:rsidR="00574C32" w:rsidRDefault="00574C32" w:rsidP="00574C32"/>
    <w:p w:rsidR="00574C32" w:rsidRDefault="00574C32" w:rsidP="00574C32"/>
    <w:p w:rsidR="00574C32" w:rsidRDefault="00574C32" w:rsidP="00574C32"/>
    <w:p w:rsidR="00574C32" w:rsidRDefault="00574C32" w:rsidP="00574C32">
      <w:pPr>
        <w:spacing w:line="220" w:lineRule="exact"/>
      </w:pPr>
    </w:p>
    <w:p w:rsidR="00574C32" w:rsidRDefault="00574C32" w:rsidP="00574C32">
      <w:pPr>
        <w:spacing w:line="220" w:lineRule="exact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 xml:space="preserve">                                                    </w:t>
      </w:r>
    </w:p>
    <w:tbl>
      <w:tblPr>
        <w:tblStyle w:val="a9"/>
        <w:tblW w:w="7849" w:type="dxa"/>
        <w:tblInd w:w="2791" w:type="dxa"/>
        <w:tblLook w:val="04A0" w:firstRow="1" w:lastRow="0" w:firstColumn="1" w:lastColumn="0" w:noHBand="0" w:noVBand="1"/>
      </w:tblPr>
      <w:tblGrid>
        <w:gridCol w:w="7849"/>
      </w:tblGrid>
      <w:tr w:rsidR="00574C32" w:rsidTr="007E3EAC">
        <w:trPr>
          <w:trHeight w:val="18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CAH58704.1: putative LuxR regulator, 886aa</w:t>
            </w:r>
          </w:p>
        </w:tc>
      </w:tr>
      <w:tr w:rsidR="00574C32" w:rsidTr="007E3EAC">
        <w:trPr>
          <w:trHeight w:val="18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CAH58703.1: putative aminoglycoside N-acetyltransferase, 287aa </w:t>
            </w:r>
          </w:p>
        </w:tc>
      </w:tr>
      <w:tr w:rsidR="00574C32" w:rsidTr="007E3EAC">
        <w:trPr>
          <w:trHeight w:val="19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CAH58702.1: hypothetical protein, 1313aa   </w:t>
            </w:r>
          </w:p>
        </w:tc>
      </w:tr>
      <w:tr w:rsidR="00574C32" w:rsidTr="007E3EAC">
        <w:trPr>
          <w:trHeight w:val="18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CAH58701.1: putative aminomutase, 416aa </w:t>
            </w:r>
          </w:p>
        </w:tc>
      </w:tr>
      <w:tr w:rsidR="00574C32" w:rsidTr="007E3EAC">
        <w:trPr>
          <w:trHeight w:val="18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CAH58700.1: putative ribosyltransferase, 660aa      </w:t>
            </w:r>
          </w:p>
        </w:tc>
      </w:tr>
      <w:tr w:rsidR="00574C32" w:rsidTr="007E3EAC">
        <w:trPr>
          <w:trHeight w:val="18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CAH58699.1: hypothetical protein, 279aa </w:t>
            </w:r>
          </w:p>
        </w:tc>
      </w:tr>
      <w:tr w:rsidR="00574C32" w:rsidTr="007E3EAC">
        <w:trPr>
          <w:trHeight w:val="18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CAH58698.1: hypothetical protein, 366aa     </w:t>
            </w:r>
          </w:p>
        </w:tc>
      </w:tr>
      <w:tr w:rsidR="00574C32" w:rsidTr="007E3EAC">
        <w:trPr>
          <w:trHeight w:val="18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CAH58697.1: hypothetical protein, 83aa </w:t>
            </w:r>
          </w:p>
        </w:tc>
      </w:tr>
      <w:tr w:rsidR="00574C32" w:rsidTr="007E3EAC">
        <w:trPr>
          <w:trHeight w:val="19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CAH58696.1: putative phosphomutase, 233aa    </w:t>
            </w:r>
          </w:p>
        </w:tc>
      </w:tr>
      <w:tr w:rsidR="00574C32" w:rsidTr="007E3EAC">
        <w:trPr>
          <w:trHeight w:val="18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CAH58695.1: putative Fe-S oxidoreductase, 299aa    </w:t>
            </w:r>
          </w:p>
        </w:tc>
        <w:bookmarkStart w:id="0" w:name="_GoBack"/>
        <w:bookmarkEnd w:id="0"/>
      </w:tr>
      <w:tr w:rsidR="00574C32" w:rsidTr="007E3EAC">
        <w:trPr>
          <w:trHeight w:val="18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CAH58694.1: putative sugar dehydrogenase, 541aa </w:t>
            </w:r>
          </w:p>
        </w:tc>
      </w:tr>
      <w:tr w:rsidR="00574C32" w:rsidTr="007E3EAC">
        <w:trPr>
          <w:trHeight w:val="18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CAH58693.1: putative exporter, 594aa </w:t>
            </w:r>
          </w:p>
        </w:tc>
      </w:tr>
      <w:tr w:rsidR="00574C32" w:rsidTr="007E3EAC">
        <w:trPr>
          <w:trHeight w:val="18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CAH58692.1: putative exporter, 663aa </w:t>
            </w:r>
          </w:p>
        </w:tc>
      </w:tr>
      <w:tr w:rsidR="00574C32" w:rsidTr="007E3EAC">
        <w:trPr>
          <w:trHeight w:val="18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CAH58691.1: putative glycosyltransferase, 394aa  </w:t>
            </w:r>
          </w:p>
        </w:tc>
      </w:tr>
      <w:tr w:rsidR="00574C32" w:rsidTr="007E3EAC">
        <w:trPr>
          <w:trHeight w:val="186"/>
        </w:trPr>
        <w:tc>
          <w:tcPr>
            <w:tcW w:w="7849" w:type="dxa"/>
          </w:tcPr>
          <w:p w:rsidR="00574C32" w:rsidRPr="00B1736E" w:rsidRDefault="00574C32" w:rsidP="007E3EAC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CAH58690.1: putative 2-deoxy-scyllo-inosose synthase, 430aa </w:t>
            </w:r>
          </w:p>
        </w:tc>
      </w:tr>
    </w:tbl>
    <w:p w:rsidR="00574C32" w:rsidRDefault="00574C32" w:rsidP="00574C32">
      <w:pPr>
        <w:spacing w:line="220" w:lineRule="exact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 xml:space="preserve">         </w:t>
      </w:r>
    </w:p>
    <w:p w:rsidR="00EF410A" w:rsidRPr="00574C32" w:rsidRDefault="00574C32" w:rsidP="00CF3E9A">
      <w:pPr>
        <w:spacing w:line="240" w:lineRule="exact"/>
      </w:pPr>
      <w:r>
        <w:rPr>
          <w:rFonts w:ascii="Times New Roman" w:hAnsi="Times New Roman" w:cs="Times New Roman" w:hint="eastAsia"/>
          <w:sz w:val="20"/>
          <w:szCs w:val="20"/>
        </w:rPr>
        <w:t>Figure S</w:t>
      </w:r>
      <w:r>
        <w:rPr>
          <w:rFonts w:ascii="Times New Roman" w:hAnsi="Times New Roman" w:cs="Times New Roman"/>
          <w:sz w:val="20"/>
          <w:szCs w:val="20"/>
        </w:rPr>
        <w:t xml:space="preserve">2. The gene arrangements around the aminoglycoside N-acetyltransferases in </w:t>
      </w:r>
      <w:r w:rsidRPr="006613FD">
        <w:rPr>
          <w:rFonts w:ascii="Times New Roman" w:hAnsi="Times New Roman" w:cs="Times New Roman"/>
          <w:i/>
          <w:sz w:val="20"/>
          <w:szCs w:val="20"/>
        </w:rPr>
        <w:t>Pseudomonas aeruginosa</w:t>
      </w:r>
      <w:r>
        <w:rPr>
          <w:rFonts w:ascii="Times New Roman" w:hAnsi="Times New Roman" w:cs="Times New Roman"/>
          <w:sz w:val="20"/>
          <w:szCs w:val="20"/>
        </w:rPr>
        <w:t xml:space="preserve"> PA34 (A) and </w:t>
      </w:r>
      <w:r w:rsidRPr="006613FD">
        <w:rPr>
          <w:rFonts w:ascii="Times New Roman" w:hAnsi="Times New Roman" w:cs="Times New Roman"/>
          <w:i/>
          <w:sz w:val="20"/>
          <w:szCs w:val="20"/>
        </w:rPr>
        <w:t>Streptomyces fradiae</w:t>
      </w:r>
      <w:r>
        <w:rPr>
          <w:rFonts w:ascii="Times New Roman" w:hAnsi="Times New Roman" w:cs="Times New Roman"/>
          <w:sz w:val="20"/>
          <w:szCs w:val="20"/>
        </w:rPr>
        <w:t xml:space="preserve"> (B). The figures are redrawn from the NCBI database. The GenBank accession numbers are NZ_CP032552.1 and AJ843080.1, respectively.</w:t>
      </w:r>
    </w:p>
    <w:sectPr w:rsidR="00EF410A" w:rsidRPr="00574C32" w:rsidSect="00EF410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981" w:rsidRDefault="00185981" w:rsidP="00F0442F">
      <w:r>
        <w:separator/>
      </w:r>
    </w:p>
  </w:endnote>
  <w:endnote w:type="continuationSeparator" w:id="0">
    <w:p w:rsidR="00185981" w:rsidRDefault="00185981" w:rsidP="00F0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981" w:rsidRDefault="00185981" w:rsidP="00F0442F">
      <w:r>
        <w:separator/>
      </w:r>
    </w:p>
  </w:footnote>
  <w:footnote w:type="continuationSeparator" w:id="0">
    <w:p w:rsidR="00185981" w:rsidRDefault="00185981" w:rsidP="00F044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10A"/>
    <w:rsid w:val="00185981"/>
    <w:rsid w:val="001A477A"/>
    <w:rsid w:val="002A2D73"/>
    <w:rsid w:val="002E04C3"/>
    <w:rsid w:val="003B7360"/>
    <w:rsid w:val="00413991"/>
    <w:rsid w:val="00522576"/>
    <w:rsid w:val="00574C32"/>
    <w:rsid w:val="005D7649"/>
    <w:rsid w:val="00967663"/>
    <w:rsid w:val="009A119A"/>
    <w:rsid w:val="00C37FD8"/>
    <w:rsid w:val="00CF3E9A"/>
    <w:rsid w:val="00D44770"/>
    <w:rsid w:val="00EF410A"/>
    <w:rsid w:val="00F0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4C775F-2349-4098-96B9-E1997E9FC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9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1399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044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0442F"/>
  </w:style>
  <w:style w:type="paragraph" w:styleId="a7">
    <w:name w:val="footer"/>
    <w:basedOn w:val="a"/>
    <w:link w:val="a8"/>
    <w:uiPriority w:val="99"/>
    <w:unhideWhenUsed/>
    <w:rsid w:val="00F044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0442F"/>
  </w:style>
  <w:style w:type="table" w:styleId="a9">
    <w:name w:val="Table Grid"/>
    <w:basedOn w:val="a1"/>
    <w:uiPriority w:val="39"/>
    <w:rsid w:val="00574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小河原 宏</dc:creator>
  <cp:keywords/>
  <dc:description/>
  <cp:lastModifiedBy>小河原 宏</cp:lastModifiedBy>
  <cp:revision>6</cp:revision>
  <cp:lastPrinted>2019-03-05T02:57:00Z</cp:lastPrinted>
  <dcterms:created xsi:type="dcterms:W3CDTF">2019-03-05T03:22:00Z</dcterms:created>
  <dcterms:modified xsi:type="dcterms:W3CDTF">2019-09-09T20:24:00Z</dcterms:modified>
</cp:coreProperties>
</file>