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827A2" w14:textId="4563AC84" w:rsidR="000B3F89" w:rsidRPr="00E01366" w:rsidRDefault="000B3F89">
      <w:pPr>
        <w:rPr>
          <w:rFonts w:ascii="Palatino Linotype" w:hAnsi="Palatino Linotype" w:cs="Times New Roman"/>
          <w:sz w:val="20"/>
          <w:szCs w:val="20"/>
          <w:shd w:val="clear" w:color="auto" w:fill="FFFFFF"/>
        </w:rPr>
      </w:pPr>
      <w:r w:rsidRPr="00E01366">
        <w:rPr>
          <w:rFonts w:ascii="Palatino Linotype" w:hAnsi="Palatino Linotype" w:cs="Times New Roman"/>
          <w:b/>
          <w:noProof/>
          <w:sz w:val="20"/>
          <w:szCs w:val="20"/>
        </w:rPr>
        <w:t xml:space="preserve">Table S4. </w:t>
      </w:r>
      <w:r w:rsidRPr="00E01366">
        <w:rPr>
          <w:rFonts w:ascii="Palatino Linotype" w:hAnsi="Palatino Linotype" w:cs="Times New Roman"/>
          <w:noProof/>
          <w:sz w:val="20"/>
          <w:szCs w:val="20"/>
        </w:rPr>
        <w:t xml:space="preserve">Amino acid sequence homology between DIR22 from </w:t>
      </w:r>
      <w:bookmarkStart w:id="0" w:name="OLE_LINK3"/>
      <w:bookmarkStart w:id="1" w:name="OLE_LINK4"/>
      <w:r w:rsidRPr="00E01366">
        <w:rPr>
          <w:rFonts w:ascii="Palatino Linotype" w:hAnsi="Palatino Linotype" w:cs="Times New Roman"/>
          <w:i/>
          <w:sz w:val="20"/>
          <w:szCs w:val="20"/>
          <w:shd w:val="clear" w:color="auto" w:fill="FFFFFF"/>
        </w:rPr>
        <w:t>Glycine max</w:t>
      </w:r>
      <w:bookmarkEnd w:id="0"/>
      <w:bookmarkEnd w:id="1"/>
      <w:r w:rsidR="00086653" w:rsidRPr="00E01366">
        <w:rPr>
          <w:rFonts w:ascii="Palatino Linotype" w:hAnsi="Palatino Linotype" w:cs="Times New Roman"/>
          <w:i/>
          <w:sz w:val="20"/>
          <w:szCs w:val="20"/>
          <w:shd w:val="clear" w:color="auto" w:fill="FFFFFF"/>
        </w:rPr>
        <w:t xml:space="preserve"> </w:t>
      </w:r>
      <w:r w:rsidR="00086653"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>(accession number: ADX66343.1)</w:t>
      </w:r>
      <w:r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 xml:space="preserve"> and </w:t>
      </w:r>
      <w:proofErr w:type="spellStart"/>
      <w:r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>UdDIRs</w:t>
      </w:r>
      <w:proofErr w:type="spellEnd"/>
      <w:r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 xml:space="preserve"> from subfamily-b/d. </w:t>
      </w:r>
      <w:r w:rsidR="00086653"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>T</w:t>
      </w:r>
      <w:r w:rsidR="004833CA"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 xml:space="preserve">he alignment </w:t>
      </w:r>
      <w:proofErr w:type="gramStart"/>
      <w:r w:rsidR="004833CA"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>was performed</w:t>
      </w:r>
      <w:proofErr w:type="gramEnd"/>
      <w:r w:rsidR="004833CA"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 xml:space="preserve"> using BLASTP</w:t>
      </w:r>
      <w:r w:rsidR="00086653"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 xml:space="preserve"> </w:t>
      </w:r>
      <w:r w:rsidR="00F06417"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>at</w:t>
      </w:r>
      <w:r w:rsidR="00086653" w:rsidRPr="00E01366">
        <w:rPr>
          <w:rFonts w:ascii="Palatino Linotype" w:hAnsi="Palatino Linotype" w:cs="Times New Roman"/>
          <w:sz w:val="20"/>
          <w:szCs w:val="20"/>
          <w:shd w:val="clear" w:color="auto" w:fill="FFFFFF"/>
        </w:rPr>
        <w:t xml:space="preserve"> NCBI.</w:t>
      </w:r>
    </w:p>
    <w:tbl>
      <w:tblPr>
        <w:tblStyle w:val="PlainTable2"/>
        <w:tblW w:w="0" w:type="auto"/>
        <w:tblLook w:val="06A0" w:firstRow="1" w:lastRow="0" w:firstColumn="1" w:lastColumn="0" w:noHBand="1" w:noVBand="1"/>
      </w:tblPr>
      <w:tblGrid>
        <w:gridCol w:w="1803"/>
        <w:gridCol w:w="1803"/>
        <w:gridCol w:w="2064"/>
        <w:gridCol w:w="1542"/>
        <w:gridCol w:w="1804"/>
      </w:tblGrid>
      <w:tr w:rsidR="009052B6" w:rsidRPr="00E01366" w14:paraId="311BE3D7" w14:textId="77777777" w:rsidTr="000866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37D54C84" w14:textId="77777777" w:rsidR="009052B6" w:rsidRPr="00E01366" w:rsidRDefault="009052B6">
            <w:pPr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Genes</w:t>
            </w:r>
          </w:p>
        </w:tc>
        <w:tc>
          <w:tcPr>
            <w:tcW w:w="1803" w:type="dxa"/>
          </w:tcPr>
          <w:p w14:paraId="0CE5358E" w14:textId="77777777" w:rsidR="009052B6" w:rsidRPr="00E01366" w:rsidRDefault="009052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Total score</w:t>
            </w:r>
          </w:p>
        </w:tc>
        <w:tc>
          <w:tcPr>
            <w:tcW w:w="2064" w:type="dxa"/>
          </w:tcPr>
          <w:p w14:paraId="504434A5" w14:textId="77777777" w:rsidR="009052B6" w:rsidRPr="00E01366" w:rsidRDefault="009052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Query cover (%)</w:t>
            </w:r>
          </w:p>
        </w:tc>
        <w:tc>
          <w:tcPr>
            <w:tcW w:w="1542" w:type="dxa"/>
          </w:tcPr>
          <w:p w14:paraId="63A47049" w14:textId="77777777" w:rsidR="009052B6" w:rsidRPr="00E01366" w:rsidRDefault="009052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E value</w:t>
            </w:r>
          </w:p>
        </w:tc>
        <w:tc>
          <w:tcPr>
            <w:tcW w:w="1804" w:type="dxa"/>
          </w:tcPr>
          <w:p w14:paraId="36749243" w14:textId="77777777" w:rsidR="009052B6" w:rsidRPr="00E01366" w:rsidRDefault="009052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Identity (%)</w:t>
            </w:r>
          </w:p>
        </w:tc>
      </w:tr>
      <w:tr w:rsidR="009052B6" w:rsidRPr="00E01366" w14:paraId="35C9156C" w14:textId="77777777" w:rsidTr="00086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16007E3C" w14:textId="77777777" w:rsidR="009052B6" w:rsidRPr="00E01366" w:rsidRDefault="009052B6">
            <w:pPr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  <w:t>UdDIR1</w:t>
            </w:r>
          </w:p>
        </w:tc>
        <w:tc>
          <w:tcPr>
            <w:tcW w:w="1803" w:type="dxa"/>
          </w:tcPr>
          <w:p w14:paraId="2BF77015" w14:textId="77777777" w:rsidR="009052B6" w:rsidRPr="00E01366" w:rsidRDefault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156</w:t>
            </w:r>
          </w:p>
        </w:tc>
        <w:tc>
          <w:tcPr>
            <w:tcW w:w="2064" w:type="dxa"/>
          </w:tcPr>
          <w:p w14:paraId="4E939684" w14:textId="77777777" w:rsidR="009052B6" w:rsidRPr="00E01366" w:rsidRDefault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100</w:t>
            </w:r>
          </w:p>
        </w:tc>
        <w:tc>
          <w:tcPr>
            <w:tcW w:w="1542" w:type="dxa"/>
          </w:tcPr>
          <w:p w14:paraId="0F022B56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1E</w:t>
            </w: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  <w:vertAlign w:val="superscript"/>
              </w:rPr>
              <w:t>-52</w:t>
            </w:r>
          </w:p>
        </w:tc>
        <w:tc>
          <w:tcPr>
            <w:tcW w:w="1804" w:type="dxa"/>
          </w:tcPr>
          <w:p w14:paraId="61452C80" w14:textId="77777777" w:rsidR="009052B6" w:rsidRPr="00E01366" w:rsidRDefault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38.62</w:t>
            </w:r>
          </w:p>
        </w:tc>
      </w:tr>
      <w:tr w:rsidR="009052B6" w:rsidRPr="00E01366" w14:paraId="76F59828" w14:textId="77777777" w:rsidTr="00086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7E47B1CA" w14:textId="77777777" w:rsidR="009052B6" w:rsidRPr="00E01366" w:rsidRDefault="009052B6" w:rsidP="009052B6">
            <w:pPr>
              <w:rPr>
                <w:rFonts w:ascii="Palatino Linotype" w:hAnsi="Palatino Linotype"/>
                <w:b w:val="0"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  <w:t>UdDIR2</w:t>
            </w:r>
          </w:p>
        </w:tc>
        <w:tc>
          <w:tcPr>
            <w:tcW w:w="1803" w:type="dxa"/>
          </w:tcPr>
          <w:p w14:paraId="1F7C7F42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160</w:t>
            </w:r>
          </w:p>
        </w:tc>
        <w:tc>
          <w:tcPr>
            <w:tcW w:w="2064" w:type="dxa"/>
          </w:tcPr>
          <w:p w14:paraId="062AB79C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85</w:t>
            </w:r>
          </w:p>
        </w:tc>
        <w:tc>
          <w:tcPr>
            <w:tcW w:w="1542" w:type="dxa"/>
          </w:tcPr>
          <w:p w14:paraId="2FD28ABA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bookmarkStart w:id="2" w:name="OLE_LINK11"/>
            <w:bookmarkStart w:id="3" w:name="OLE_LINK12"/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3E</w:t>
            </w: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  <w:vertAlign w:val="superscript"/>
              </w:rPr>
              <w:t>-54</w:t>
            </w:r>
            <w:bookmarkEnd w:id="2"/>
            <w:bookmarkEnd w:id="3"/>
          </w:p>
        </w:tc>
        <w:tc>
          <w:tcPr>
            <w:tcW w:w="1804" w:type="dxa"/>
          </w:tcPr>
          <w:p w14:paraId="3B20DE1B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45.62</w:t>
            </w:r>
          </w:p>
        </w:tc>
      </w:tr>
      <w:tr w:rsidR="009052B6" w:rsidRPr="00E01366" w14:paraId="71ACBC9E" w14:textId="77777777" w:rsidTr="00086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46DB3B61" w14:textId="77777777" w:rsidR="009052B6" w:rsidRPr="00E01366" w:rsidRDefault="009052B6" w:rsidP="009052B6">
            <w:pPr>
              <w:rPr>
                <w:rFonts w:ascii="Palatino Linotype" w:hAnsi="Palatino Linotype"/>
                <w:b w:val="0"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  <w:t>UdDIR6</w:t>
            </w:r>
          </w:p>
        </w:tc>
        <w:tc>
          <w:tcPr>
            <w:tcW w:w="1803" w:type="dxa"/>
          </w:tcPr>
          <w:p w14:paraId="6381D406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112</w:t>
            </w:r>
          </w:p>
        </w:tc>
        <w:tc>
          <w:tcPr>
            <w:tcW w:w="2064" w:type="dxa"/>
          </w:tcPr>
          <w:p w14:paraId="06AFD794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70</w:t>
            </w:r>
          </w:p>
        </w:tc>
        <w:tc>
          <w:tcPr>
            <w:tcW w:w="1542" w:type="dxa"/>
          </w:tcPr>
          <w:p w14:paraId="22EE03BC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1E</w:t>
            </w: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  <w:vertAlign w:val="superscript"/>
              </w:rPr>
              <w:t>-35</w:t>
            </w:r>
          </w:p>
        </w:tc>
        <w:tc>
          <w:tcPr>
            <w:tcW w:w="1804" w:type="dxa"/>
          </w:tcPr>
          <w:p w14:paraId="20121B44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39.55</w:t>
            </w:r>
          </w:p>
        </w:tc>
      </w:tr>
      <w:tr w:rsidR="009052B6" w:rsidRPr="00E01366" w14:paraId="46F22EED" w14:textId="77777777" w:rsidTr="00086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0ACCED17" w14:textId="77777777" w:rsidR="009052B6" w:rsidRPr="00E01366" w:rsidRDefault="009052B6" w:rsidP="009052B6">
            <w:pPr>
              <w:rPr>
                <w:rFonts w:ascii="Palatino Linotype" w:hAnsi="Palatino Linotype"/>
                <w:b w:val="0"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  <w:t>UdDIR7</w:t>
            </w:r>
          </w:p>
        </w:tc>
        <w:tc>
          <w:tcPr>
            <w:tcW w:w="1803" w:type="dxa"/>
          </w:tcPr>
          <w:p w14:paraId="72B05036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124</w:t>
            </w:r>
          </w:p>
        </w:tc>
        <w:tc>
          <w:tcPr>
            <w:tcW w:w="2064" w:type="dxa"/>
          </w:tcPr>
          <w:p w14:paraId="7102250B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73</w:t>
            </w:r>
          </w:p>
        </w:tc>
        <w:tc>
          <w:tcPr>
            <w:tcW w:w="1542" w:type="dxa"/>
          </w:tcPr>
          <w:p w14:paraId="7A5419E5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8E</w:t>
            </w: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  <w:vertAlign w:val="superscript"/>
              </w:rPr>
              <w:t>-41</w:t>
            </w:r>
          </w:p>
        </w:tc>
        <w:tc>
          <w:tcPr>
            <w:tcW w:w="1804" w:type="dxa"/>
          </w:tcPr>
          <w:p w14:paraId="07724C9F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41.73</w:t>
            </w:r>
          </w:p>
        </w:tc>
      </w:tr>
      <w:tr w:rsidR="009052B6" w:rsidRPr="00E01366" w14:paraId="4170214C" w14:textId="77777777" w:rsidTr="00086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53FF18A8" w14:textId="77777777" w:rsidR="009052B6" w:rsidRPr="00E01366" w:rsidRDefault="009052B6" w:rsidP="009052B6">
            <w:pPr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  <w:t>UdDIR9</w:t>
            </w:r>
          </w:p>
        </w:tc>
        <w:tc>
          <w:tcPr>
            <w:tcW w:w="1803" w:type="dxa"/>
          </w:tcPr>
          <w:p w14:paraId="7C61C7B5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145</w:t>
            </w:r>
          </w:p>
        </w:tc>
        <w:tc>
          <w:tcPr>
            <w:tcW w:w="2064" w:type="dxa"/>
          </w:tcPr>
          <w:p w14:paraId="4E37736C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81</w:t>
            </w:r>
          </w:p>
        </w:tc>
        <w:tc>
          <w:tcPr>
            <w:tcW w:w="1542" w:type="dxa"/>
          </w:tcPr>
          <w:p w14:paraId="4053DC10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1E</w:t>
            </w: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  <w:vertAlign w:val="superscript"/>
              </w:rPr>
              <w:t>-48</w:t>
            </w:r>
          </w:p>
        </w:tc>
        <w:tc>
          <w:tcPr>
            <w:tcW w:w="1804" w:type="dxa"/>
          </w:tcPr>
          <w:p w14:paraId="6C2E25E1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44.81</w:t>
            </w:r>
          </w:p>
        </w:tc>
      </w:tr>
      <w:tr w:rsidR="009052B6" w:rsidRPr="00E01366" w14:paraId="40618AEF" w14:textId="77777777" w:rsidTr="00086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05BA447E" w14:textId="77777777" w:rsidR="009052B6" w:rsidRPr="00E01366" w:rsidRDefault="009052B6" w:rsidP="009052B6">
            <w:pPr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  <w:t>UdDIR10</w:t>
            </w:r>
          </w:p>
        </w:tc>
        <w:tc>
          <w:tcPr>
            <w:tcW w:w="1803" w:type="dxa"/>
          </w:tcPr>
          <w:p w14:paraId="55E24E1E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81.3</w:t>
            </w:r>
          </w:p>
        </w:tc>
        <w:tc>
          <w:tcPr>
            <w:tcW w:w="2064" w:type="dxa"/>
          </w:tcPr>
          <w:p w14:paraId="65DBC584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44</w:t>
            </w:r>
          </w:p>
        </w:tc>
        <w:tc>
          <w:tcPr>
            <w:tcW w:w="1542" w:type="dxa"/>
          </w:tcPr>
          <w:p w14:paraId="3B353304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1E</w:t>
            </w: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  <w:vertAlign w:val="superscript"/>
              </w:rPr>
              <w:t>-24</w:t>
            </w:r>
          </w:p>
        </w:tc>
        <w:tc>
          <w:tcPr>
            <w:tcW w:w="1804" w:type="dxa"/>
          </w:tcPr>
          <w:p w14:paraId="02F30709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40.96</w:t>
            </w:r>
          </w:p>
        </w:tc>
      </w:tr>
      <w:tr w:rsidR="009052B6" w:rsidRPr="00E01366" w14:paraId="0A3345F9" w14:textId="77777777" w:rsidTr="00086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791BC22C" w14:textId="77777777" w:rsidR="009052B6" w:rsidRPr="00E01366" w:rsidRDefault="009052B6" w:rsidP="009052B6">
            <w:pPr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b w:val="0"/>
                <w:noProof/>
                <w:sz w:val="20"/>
                <w:szCs w:val="20"/>
              </w:rPr>
              <w:t>UdDIR11</w:t>
            </w:r>
          </w:p>
        </w:tc>
        <w:tc>
          <w:tcPr>
            <w:tcW w:w="1803" w:type="dxa"/>
          </w:tcPr>
          <w:p w14:paraId="38F5108A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149</w:t>
            </w:r>
          </w:p>
        </w:tc>
        <w:tc>
          <w:tcPr>
            <w:tcW w:w="2064" w:type="dxa"/>
          </w:tcPr>
          <w:p w14:paraId="2C885008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76</w:t>
            </w:r>
          </w:p>
        </w:tc>
        <w:tc>
          <w:tcPr>
            <w:tcW w:w="1542" w:type="dxa"/>
          </w:tcPr>
          <w:p w14:paraId="04730AD7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4E</w:t>
            </w: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  <w:vertAlign w:val="superscript"/>
              </w:rPr>
              <w:t>-43</w:t>
            </w:r>
          </w:p>
        </w:tc>
        <w:tc>
          <w:tcPr>
            <w:tcW w:w="1804" w:type="dxa"/>
          </w:tcPr>
          <w:p w14:paraId="4C739BF8" w14:textId="77777777" w:rsidR="009052B6" w:rsidRPr="00E01366" w:rsidRDefault="009052B6" w:rsidP="00905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noProof/>
                <w:sz w:val="20"/>
                <w:szCs w:val="20"/>
              </w:rPr>
            </w:pPr>
            <w:r w:rsidRPr="00E01366">
              <w:rPr>
                <w:rFonts w:ascii="Palatino Linotype" w:hAnsi="Palatino Linotype" w:cs="Times New Roman"/>
                <w:noProof/>
                <w:sz w:val="20"/>
                <w:szCs w:val="20"/>
              </w:rPr>
              <w:t>45.99</w:t>
            </w:r>
          </w:p>
        </w:tc>
      </w:tr>
    </w:tbl>
    <w:p w14:paraId="42168E71" w14:textId="77777777" w:rsidR="00B0358C" w:rsidRPr="00E01366" w:rsidRDefault="00B0358C" w:rsidP="00E01366">
      <w:pPr>
        <w:rPr>
          <w:rFonts w:ascii="Palatino Linotype" w:hAnsi="Palatino Linotype" w:cs="Times New Roman"/>
          <w:sz w:val="20"/>
          <w:szCs w:val="20"/>
        </w:rPr>
      </w:pPr>
      <w:bookmarkStart w:id="4" w:name="_GoBack"/>
      <w:bookmarkEnd w:id="4"/>
    </w:p>
    <w:sectPr w:rsidR="00B0358C" w:rsidRPr="00E013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xtzSztDC2NDS0NDNU0lEKTi0uzszPAykwqQUAI1EjaiwAAAA="/>
  </w:docVars>
  <w:rsids>
    <w:rsidRoot w:val="00832BFE"/>
    <w:rsid w:val="00086653"/>
    <w:rsid w:val="000B3F89"/>
    <w:rsid w:val="0018031D"/>
    <w:rsid w:val="00181D93"/>
    <w:rsid w:val="00370A33"/>
    <w:rsid w:val="004833CA"/>
    <w:rsid w:val="00832BFE"/>
    <w:rsid w:val="009052B6"/>
    <w:rsid w:val="00B0358C"/>
    <w:rsid w:val="00B6323B"/>
    <w:rsid w:val="00C8175A"/>
    <w:rsid w:val="00E01366"/>
    <w:rsid w:val="00F0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7A1FB"/>
  <w15:chartTrackingRefBased/>
  <w15:docId w15:val="{45E61CA3-D599-42A4-BE2C-9E78F500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5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0866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01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XU</dc:creator>
  <cp:keywords/>
  <dc:description/>
  <cp:lastModifiedBy>Xuan XU</cp:lastModifiedBy>
  <cp:revision>7</cp:revision>
  <dcterms:created xsi:type="dcterms:W3CDTF">2019-08-29T11:15:00Z</dcterms:created>
  <dcterms:modified xsi:type="dcterms:W3CDTF">2019-09-16T16:48:00Z</dcterms:modified>
</cp:coreProperties>
</file>