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17" w:rsidRDefault="007127DE" w:rsidP="007127DE">
      <w:pPr>
        <w:pStyle w:val="MDPI41tablecaption"/>
        <w:spacing w:before="0" w:after="0"/>
        <w:jc w:val="center"/>
        <w:rPr>
          <w:b/>
        </w:rPr>
      </w:pPr>
      <w:r>
        <w:rPr>
          <w:b/>
        </w:rPr>
        <w:t>Table S1</w:t>
      </w:r>
    </w:p>
    <w:p w:rsidR="007127DE" w:rsidRDefault="007127DE" w:rsidP="007127DE">
      <w:pPr>
        <w:pStyle w:val="MDPI41tablecaption"/>
        <w:spacing w:before="0" w:after="0"/>
        <w:rPr>
          <w:b/>
        </w:rPr>
      </w:pPr>
    </w:p>
    <w:p w:rsidR="007127DE" w:rsidRDefault="007127DE" w:rsidP="007127DE">
      <w:pPr>
        <w:pStyle w:val="MDPI41tablecaption"/>
        <w:spacing w:before="0" w:after="0"/>
        <w:rPr>
          <w:b/>
        </w:rPr>
      </w:pPr>
    </w:p>
    <w:p w:rsidR="003D1B17" w:rsidRPr="003D1B17" w:rsidRDefault="003D1B17" w:rsidP="007127DE">
      <w:pPr>
        <w:pStyle w:val="MDPI41tablecaption"/>
        <w:spacing w:before="0" w:after="0"/>
        <w:rPr>
          <w:color w:val="auto"/>
        </w:rPr>
      </w:pPr>
      <w:r w:rsidRPr="003D1B17">
        <w:rPr>
          <w:b/>
        </w:rPr>
        <w:t>Table S1.</w:t>
      </w:r>
      <w:r w:rsidRPr="003D1B17">
        <w:t xml:space="preserve"> </w:t>
      </w:r>
      <w:proofErr w:type="gramStart"/>
      <w:r w:rsidRPr="003D1B17">
        <w:t xml:space="preserve">Other differentially expressed genes in zebrafish upon </w:t>
      </w:r>
      <w:r w:rsidRPr="003D1B17">
        <w:t xml:space="preserve">dietary supplementation with mastic </w:t>
      </w:r>
      <w:r w:rsidRPr="003D1B17">
        <w:t>essential oil.</w:t>
      </w:r>
      <w:proofErr w:type="gramEnd"/>
      <w:r w:rsidRPr="003D1B17">
        <w:t xml:space="preserve"> Genes were categorized </w:t>
      </w:r>
      <w:proofErr w:type="gramStart"/>
      <w:r w:rsidRPr="003D1B17">
        <w:t>by a selection criteria</w:t>
      </w:r>
      <w:proofErr w:type="gramEnd"/>
      <w:r w:rsidRPr="003D1B17">
        <w:t xml:space="preserve"> of fold change ≥ 1.7 and </w:t>
      </w:r>
      <w:r w:rsidRPr="003D1B17">
        <w:rPr>
          <w:i/>
        </w:rPr>
        <w:t>p</w:t>
      </w:r>
      <w:r w:rsidRPr="003D1B17">
        <w:t xml:space="preserve">-value &lt; 0.05 in treated </w:t>
      </w:r>
      <w:r w:rsidRPr="003D1B17">
        <w:rPr>
          <w:i/>
        </w:rPr>
        <w:t xml:space="preserve">versus </w:t>
      </w:r>
      <w:r w:rsidRPr="003D1B17">
        <w:t xml:space="preserve">control zebrafish. </w:t>
      </w:r>
      <w:r>
        <w:rPr>
          <w:color w:val="auto"/>
        </w:rPr>
        <w:t>FC (abs):</w:t>
      </w:r>
      <w:r w:rsidRPr="003D1B17">
        <w:rPr>
          <w:color w:val="auto"/>
        </w:rPr>
        <w:t xml:space="preserve"> Fold Change (absolute).</w:t>
      </w:r>
    </w:p>
    <w:p w:rsidR="003D1B17" w:rsidRDefault="003D1B17"/>
    <w:tbl>
      <w:tblPr>
        <w:tblW w:w="5000" w:type="pct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Look w:val="04A0"/>
      </w:tblPr>
      <w:tblGrid>
        <w:gridCol w:w="1959"/>
        <w:gridCol w:w="4496"/>
        <w:gridCol w:w="1732"/>
        <w:gridCol w:w="1274"/>
        <w:gridCol w:w="961"/>
      </w:tblGrid>
      <w:tr w:rsidR="003D1B17" w:rsidRPr="003D1B17" w:rsidTr="003D1B17">
        <w:trPr>
          <w:jc w:val="center"/>
        </w:trPr>
        <w:tc>
          <w:tcPr>
            <w:tcW w:w="94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D1B17" w:rsidRPr="003D1B17" w:rsidRDefault="003D1B17" w:rsidP="00B00FD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b/>
                <w:bCs/>
                <w:sz w:val="20"/>
                <w:lang w:eastAsia="el-GR"/>
              </w:rPr>
              <w:t>Gene Symbol</w:t>
            </w:r>
          </w:p>
        </w:tc>
        <w:tc>
          <w:tcPr>
            <w:tcW w:w="215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D1B17" w:rsidRPr="003D1B17" w:rsidRDefault="003D1B17" w:rsidP="00B00FD6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b/>
                <w:bCs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b/>
                <w:bCs/>
                <w:sz w:val="20"/>
                <w:lang w:eastAsia="el-GR"/>
              </w:rPr>
              <w:t>Gene Description</w:t>
            </w:r>
          </w:p>
        </w:tc>
        <w:tc>
          <w:tcPr>
            <w:tcW w:w="83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b/>
                <w:bCs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b/>
                <w:bCs/>
                <w:sz w:val="20"/>
                <w:lang w:eastAsia="el-GR"/>
              </w:rPr>
              <w:t>NCBI Gene ID</w:t>
            </w:r>
          </w:p>
        </w:tc>
        <w:tc>
          <w:tcPr>
            <w:tcW w:w="61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b/>
                <w:bCs/>
                <w:i/>
                <w:iCs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b/>
                <w:bCs/>
                <w:i/>
                <w:iCs/>
                <w:sz w:val="20"/>
                <w:lang w:eastAsia="el-GR"/>
              </w:rPr>
              <w:t>p-</w:t>
            </w:r>
            <w:r>
              <w:rPr>
                <w:rFonts w:ascii="Palatino Linotype" w:hAnsi="Palatino Linotype" w:cs="Calibri"/>
                <w:b/>
                <w:bCs/>
                <w:sz w:val="20"/>
                <w:lang w:eastAsia="el-GR"/>
              </w:rPr>
              <w:t>v</w:t>
            </w:r>
            <w:r w:rsidRPr="003D1B17">
              <w:rPr>
                <w:rFonts w:ascii="Palatino Linotype" w:hAnsi="Palatino Linotype" w:cs="Calibri"/>
                <w:b/>
                <w:bCs/>
                <w:sz w:val="20"/>
                <w:lang w:eastAsia="el-GR"/>
              </w:rPr>
              <w:t>alue</w:t>
            </w:r>
          </w:p>
        </w:tc>
        <w:tc>
          <w:tcPr>
            <w:tcW w:w="46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D1B17" w:rsidRPr="003D1B17" w:rsidRDefault="003D1B17" w:rsidP="00B00FD6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b/>
                <w:bCs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b/>
                <w:bCs/>
                <w:sz w:val="20"/>
                <w:lang w:eastAsia="el-GR"/>
              </w:rPr>
              <w:t>FC (abs)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stxbp4, LOC567916</w:t>
            </w:r>
          </w:p>
        </w:tc>
        <w:tc>
          <w:tcPr>
            <w:tcW w:w="215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syntaxin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binding protein 4-like</w:t>
            </w:r>
          </w:p>
        </w:tc>
        <w:tc>
          <w:tcPr>
            <w:tcW w:w="83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567916</w:t>
            </w:r>
          </w:p>
        </w:tc>
        <w:tc>
          <w:tcPr>
            <w:tcW w:w="61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47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-2</w:t>
            </w: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1.85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prss60.1, zgc:162180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serine protease 60.1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799770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2.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74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-2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1.74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krt1-19d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keratin, type 1, gene 19d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664718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15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-2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1.70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LOC567193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similar to human galectin-4, uncharacterized protein si:dkey-151j17.4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567193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2.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50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-2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2.38</w:t>
            </w:r>
          </w:p>
        </w:tc>
      </w:tr>
      <w:tr w:rsidR="004E149B" w:rsidRPr="003D1B17" w:rsidTr="004E149B">
        <w:trPr>
          <w:trHeight w:val="641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ddx43|LOC557043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color w:val="008000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color w:val="008000"/>
                <w:sz w:val="20"/>
                <w:lang w:eastAsia="el-GR"/>
              </w:rPr>
              <w:t xml:space="preserve"> 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DEAD (Asp-</w:t>
            </w: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Glu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-Ala-Asp) box polypeptide 43 | hypothetical LOC557043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100136871//</w:t>
            </w:r>
            <w:r>
              <w:rPr>
                <w:rFonts w:ascii="Palatino Linotype" w:hAnsi="Palatino Linotype" w:cs="Calibri"/>
                <w:sz w:val="20"/>
                <w:lang w:eastAsia="el-GR"/>
              </w:rPr>
              <w:t xml:space="preserve"> 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557043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6.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08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-4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−4.60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LOC100001181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tripartite motif protein TRIM29-like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100001181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4.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87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-3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−1.81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LOC100006656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si:ch1073-188e1.1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100006656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15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-4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−2.40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LOC100007087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si:dkey-23i12.7, basic </w:t>
            </w: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leucine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zipper transcriptional factor ATF-like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100007087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8.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18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-3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−2.19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LOC100330813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tripartite motif-containing protein 47-like 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100330813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23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-3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−1.98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LOC564808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uncharacterized LOC564808 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564808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3.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12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-3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−3.24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LOC795959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gamma-</w:t>
            </w: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glutamyltranspeptidase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1, si:dkey-222h21.12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795959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12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-3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−1.98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LOC798013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carbohydrate (</w:t>
            </w: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chondroitin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4) </w:t>
            </w: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sulfotransferase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12-like, si:dkey-26i13.7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798013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56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-2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−2.53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LOC798358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membrane-spanning 4-domains, subfamily A, member 4-like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798358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4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59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-3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−1.97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ogfrl2, si:busm1-6a2.1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si:busm1-6a2.1, </w:t>
            </w: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opioid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growth factor receptor-like 2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368512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81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-3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−2.32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si:ch211-114l13.9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si:ch211-114l13.9 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796649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45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-2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−1.85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si:ch211-217k17.10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si:ch211-217k17.10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798704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2.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90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-2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−2.16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si:ch211-244b2.3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si:ch211-244b2.3 uncharacterized protein LOC557230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557230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8.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34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-5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−2.04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si:ch211-245h14.1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si:ch211-245h14.1 uncharacterized protein LOC563420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563420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01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-4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−1.71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si:dkey-58f10.13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uncharacterized protein si:dkey-58f10.13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100149772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22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-3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−1.81</w:t>
            </w:r>
          </w:p>
        </w:tc>
      </w:tr>
      <w:tr w:rsidR="004E149B" w:rsidRPr="003D1B17" w:rsidTr="004E149B">
        <w:trPr>
          <w:trHeight w:val="641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zgc:152658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zgc:152659 [</w:t>
            </w: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Orthologous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to human genes including GIMAP4 (</w:t>
            </w: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GTPase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, IMAP family member 4)]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767632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8.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51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-5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−1.89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zgc:152670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zgc:152670, </w:t>
            </w: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prolyl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4-hydroxylase alpha II-like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557059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2.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88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-3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−3.91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zgc:162182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uncharacterized protein LOC100038769; zgc:162182 [</w:t>
            </w: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orthologous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to human OGFR]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100038769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3.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09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-4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−1.84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zgc:171506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zgc:171507, uncharacterized protein LOC792896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792896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1.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87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-4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−1.82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>casp3, zgc:171731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caspase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23, apoptosis-related </w:t>
            </w: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cysteine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peptidase 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563034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3.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09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-4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−1.83</w:t>
            </w:r>
          </w:p>
        </w:tc>
      </w:tr>
      <w:tr w:rsidR="004E149B" w:rsidRPr="003D1B17" w:rsidTr="004E149B">
        <w:trPr>
          <w:trHeight w:val="344"/>
          <w:jc w:val="center"/>
        </w:trPr>
        <w:tc>
          <w:tcPr>
            <w:tcW w:w="940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i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i/>
                <w:sz w:val="20"/>
                <w:lang w:eastAsia="el-GR"/>
              </w:rPr>
              <w:t xml:space="preserve">cx30.9 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3D1B17" w:rsidRPr="003D1B17" w:rsidRDefault="003D1B17" w:rsidP="004E149B">
            <w:pPr>
              <w:adjustRightInd w:val="0"/>
              <w:snapToGrid w:val="0"/>
              <w:spacing w:line="240" w:lineRule="auto"/>
              <w:ind w:left="142"/>
              <w:jc w:val="left"/>
              <w:rPr>
                <w:rFonts w:ascii="Palatino Linotype" w:hAnsi="Palatino Linotype" w:cs="Calibri"/>
                <w:sz w:val="20"/>
                <w:lang w:eastAsia="el-GR"/>
              </w:rPr>
            </w:pPr>
            <w:proofErr w:type="spellStart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connexin</w:t>
            </w:r>
            <w:proofErr w:type="spellEnd"/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30.9 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402821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3.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08</w:t>
            </w: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 xml:space="preserve"> x 10</w:t>
            </w:r>
            <w:r w:rsidRPr="003D1B17">
              <w:rPr>
                <w:rFonts w:ascii="Palatino Linotype" w:hAnsi="Palatino Linotype" w:cs="Calibri"/>
                <w:sz w:val="20"/>
                <w:vertAlign w:val="superscript"/>
                <w:lang w:eastAsia="el-GR"/>
              </w:rPr>
              <w:t>-4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3D1B17" w:rsidRPr="003D1B17" w:rsidRDefault="003D1B17" w:rsidP="003D1B17">
            <w:pPr>
              <w:adjustRightInd w:val="0"/>
              <w:snapToGrid w:val="0"/>
              <w:spacing w:line="240" w:lineRule="auto"/>
              <w:ind w:left="142"/>
              <w:jc w:val="center"/>
              <w:rPr>
                <w:rFonts w:ascii="Palatino Linotype" w:hAnsi="Palatino Linotype" w:cs="Calibri"/>
                <w:sz w:val="20"/>
                <w:lang w:eastAsia="el-GR"/>
              </w:rPr>
            </w:pPr>
            <w:r w:rsidRPr="003D1B17">
              <w:rPr>
                <w:rFonts w:ascii="Palatino Linotype" w:hAnsi="Palatino Linotype" w:cs="Calibri"/>
                <w:sz w:val="20"/>
                <w:lang w:eastAsia="el-GR"/>
              </w:rPr>
              <w:t>−2.26</w:t>
            </w:r>
          </w:p>
        </w:tc>
      </w:tr>
    </w:tbl>
    <w:p w:rsidR="00C068FA" w:rsidRDefault="00C068FA"/>
    <w:sectPr w:rsidR="00C068FA" w:rsidSect="007127DE">
      <w:pgSz w:w="11906" w:h="16838"/>
      <w:pgMar w:top="709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1B17"/>
    <w:rsid w:val="00227DB9"/>
    <w:rsid w:val="0032318D"/>
    <w:rsid w:val="003D1B17"/>
    <w:rsid w:val="004E149B"/>
    <w:rsid w:val="007127DE"/>
    <w:rsid w:val="009E059D"/>
    <w:rsid w:val="00C068FA"/>
    <w:rsid w:val="00CF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bCs/>
        <w:kern w:val="20"/>
        <w:szCs w:val="18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17"/>
    <w:pPr>
      <w:spacing w:after="0" w:line="340" w:lineRule="atLeast"/>
      <w:jc w:val="both"/>
    </w:pPr>
    <w:rPr>
      <w:rFonts w:ascii="Times New Roman" w:eastAsia="Times New Roman" w:hAnsi="Times New Roman" w:cs="Times New Roman"/>
      <w:bCs w:val="0"/>
      <w:color w:val="000000"/>
      <w:kern w:val="0"/>
      <w:sz w:val="24"/>
      <w:szCs w:val="20"/>
      <w:lang w:val="en-US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D1B1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3D1B17"/>
    <w:pPr>
      <w:spacing w:after="200" w:line="240" w:lineRule="auto"/>
      <w:jc w:val="left"/>
    </w:pPr>
    <w:rPr>
      <w:rFonts w:asciiTheme="minorHAnsi" w:eastAsiaTheme="minorEastAsia" w:hAnsiTheme="minorHAnsi" w:cstheme="minorBidi"/>
      <w:color w:val="auto"/>
      <w:sz w:val="20"/>
      <w:lang w:val="el-GR" w:eastAsia="el-GR"/>
    </w:rPr>
  </w:style>
  <w:style w:type="character" w:customStyle="1" w:styleId="Char">
    <w:name w:val="Κείμενο σχολίου Char"/>
    <w:basedOn w:val="a0"/>
    <w:link w:val="a4"/>
    <w:uiPriority w:val="99"/>
    <w:semiHidden/>
    <w:rsid w:val="003D1B17"/>
    <w:rPr>
      <w:rFonts w:eastAsiaTheme="minorEastAsia" w:cstheme="minorBidi"/>
      <w:bCs w:val="0"/>
      <w:kern w:val="0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3D1B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D1B17"/>
    <w:rPr>
      <w:rFonts w:ascii="Tahoma" w:eastAsia="Times New Roman" w:hAnsi="Tahoma" w:cs="Tahoma"/>
      <w:bCs w:val="0"/>
      <w:color w:val="000000"/>
      <w:kern w:val="0"/>
      <w:sz w:val="16"/>
      <w:szCs w:val="16"/>
      <w:lang w:val="en-US" w:eastAsia="de-DE"/>
    </w:rPr>
  </w:style>
  <w:style w:type="paragraph" w:customStyle="1" w:styleId="MDPI41tablecaption">
    <w:name w:val="MDPI_4.1_table_caption"/>
    <w:qFormat/>
    <w:rsid w:val="003D1B17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theme="minorBidi"/>
      <w:bCs w:val="0"/>
      <w:color w:val="000000"/>
      <w:kern w:val="0"/>
      <w:sz w:val="18"/>
      <w:szCs w:val="22"/>
      <w:lang w:val="en-US" w:eastAsia="de-DE" w:bidi="en-US"/>
    </w:rPr>
  </w:style>
  <w:style w:type="character" w:customStyle="1" w:styleId="named-content">
    <w:name w:val="named-content"/>
    <w:basedOn w:val="a0"/>
    <w:rsid w:val="003D1B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393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2019-10-30T07:56:00Z</dcterms:created>
  <dcterms:modified xsi:type="dcterms:W3CDTF">2019-10-30T08:12:00Z</dcterms:modified>
</cp:coreProperties>
</file>