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9D" w:rsidRDefault="001A749D" w:rsidP="001A749D">
      <w:pPr>
        <w:jc w:val="center"/>
        <w:rPr>
          <w:rFonts w:ascii="Palatino Linotype" w:hAnsi="Palatino Linotype"/>
          <w:b/>
          <w:bCs/>
          <w:color w:val="000000"/>
          <w:sz w:val="24"/>
          <w:szCs w:val="24"/>
          <w:shd w:val="clear" w:color="auto" w:fill="FFFFFF"/>
        </w:rPr>
      </w:pPr>
      <w:r w:rsidRPr="004420D1">
        <w:rPr>
          <w:rFonts w:ascii="Palatino Linotype" w:hAnsi="Palatino Linotype"/>
          <w:b/>
          <w:bCs/>
          <w:color w:val="000000"/>
          <w:sz w:val="24"/>
          <w:szCs w:val="24"/>
          <w:shd w:val="clear" w:color="auto" w:fill="FFFFFF"/>
        </w:rPr>
        <w:t>Manuscript ID-988371</w:t>
      </w:r>
    </w:p>
    <w:p w:rsidR="001A749D" w:rsidRDefault="001A749D" w:rsidP="001A749D">
      <w:pPr>
        <w:jc w:val="both"/>
        <w:rPr>
          <w:rFonts w:ascii="Palatino Linotype" w:hAnsi="Palatino Linotype"/>
          <w:b/>
          <w:bCs/>
          <w:color w:val="000000"/>
          <w:sz w:val="24"/>
          <w:szCs w:val="24"/>
          <w:shd w:val="clear" w:color="auto" w:fill="FFFFFF"/>
        </w:rPr>
      </w:pPr>
      <w:r w:rsidRPr="004420D1">
        <w:rPr>
          <w:rFonts w:ascii="Palatino Linotype" w:hAnsi="Palatino Linotype"/>
          <w:b/>
          <w:bCs/>
          <w:color w:val="000000"/>
          <w:sz w:val="24"/>
          <w:szCs w:val="24"/>
          <w:shd w:val="clear" w:color="auto" w:fill="FFFFFF"/>
        </w:rPr>
        <w:t xml:space="preserve">Title: </w:t>
      </w:r>
      <w:r w:rsidRPr="00C9013D">
        <w:rPr>
          <w:rFonts w:ascii="Palatino Linotype" w:hAnsi="Palatino Linotype"/>
          <w:bCs/>
          <w:color w:val="000000"/>
          <w:sz w:val="24"/>
          <w:szCs w:val="24"/>
          <w:shd w:val="clear" w:color="auto" w:fill="FFFFFF"/>
        </w:rPr>
        <w:t>Deciphering the role of filamin B calponin-homology domain in causing the Larsen syndrome, Boomerang dysplasia, and Atelosteogenesis type I spectrum disorders via computational approach</w:t>
      </w:r>
    </w:p>
    <w:p w:rsidR="00F30AA7" w:rsidRPr="00276FFC" w:rsidRDefault="00276FFC" w:rsidP="00F30AA7">
      <w:pPr>
        <w:spacing w:line="360" w:lineRule="auto"/>
        <w:jc w:val="both"/>
        <w:rPr>
          <w:rFonts w:ascii="Palatino Linotype" w:hAnsi="Palatino Linotype" w:cs="Times New Roman"/>
          <w:color w:val="000000"/>
          <w:sz w:val="18"/>
          <w:szCs w:val="18"/>
          <w:shd w:val="clear" w:color="auto" w:fill="FFFFFF"/>
        </w:rPr>
      </w:pPr>
      <w:r w:rsidRPr="00276FFC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 xml:space="preserve">Table </w:t>
      </w:r>
      <w:r w:rsidR="00791739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>S</w:t>
      </w:r>
      <w:r w:rsidRPr="00276FFC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>1. List of FLNB variant</w:t>
      </w:r>
      <w:r w:rsidR="00F30AA7" w:rsidRPr="00276FFC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>s retrieved from UniProt and HGMD.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2"/>
        <w:gridCol w:w="3030"/>
        <w:gridCol w:w="2496"/>
      </w:tblGrid>
      <w:tr w:rsidR="00F30AA7" w:rsidRPr="00276FFC" w:rsidTr="006C2B40">
        <w:trPr>
          <w:trHeight w:val="566"/>
        </w:trPr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S.No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Accession ID</w:t>
            </w:r>
          </w:p>
        </w:tc>
        <w:tc>
          <w:tcPr>
            <w:tcW w:w="2496" w:type="dxa"/>
            <w:vAlign w:val="center"/>
          </w:tcPr>
          <w:p w:rsidR="00F30AA7" w:rsidRPr="00276FFC" w:rsidRDefault="00276FFC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Variant</w:t>
            </w:r>
            <w:r w:rsidR="00CE42ED" w:rsidRPr="00276FFC"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s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030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CM062740</w:t>
            </w:r>
          </w:p>
        </w:tc>
        <w:tc>
          <w:tcPr>
            <w:tcW w:w="2496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W148R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CM061770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N160T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030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CM040994/VAR_033069</w:t>
            </w:r>
          </w:p>
        </w:tc>
        <w:tc>
          <w:tcPr>
            <w:tcW w:w="2496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F161C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CM122607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Q163P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030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CM122597</w:t>
            </w:r>
          </w:p>
        </w:tc>
        <w:tc>
          <w:tcPr>
            <w:tcW w:w="2496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W165C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CM122608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D167E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CM122609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D167G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CM122603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D167V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CM062734/VAR_033070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G168S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CM122598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G168V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030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CM122604</w:t>
            </w:r>
          </w:p>
        </w:tc>
        <w:tc>
          <w:tcPr>
            <w:tcW w:w="2496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G168C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CM085436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A170P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030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CM062735</w:t>
            </w:r>
          </w:p>
        </w:tc>
        <w:tc>
          <w:tcPr>
            <w:tcW w:w="2496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L171Q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030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CM052234/VAR_033071</w:t>
            </w:r>
          </w:p>
        </w:tc>
        <w:tc>
          <w:tcPr>
            <w:tcW w:w="2496" w:type="dxa"/>
            <w:vAlign w:val="center"/>
          </w:tcPr>
          <w:p w:rsidR="00F30AA7" w:rsidRPr="00B34AB4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34AB4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L171R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CM143666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A173T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CM040995/VAR_033072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A173V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CM131740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G181R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CM131739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G181D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CM062738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G181V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CM062742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C183W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CM040996/VAR_033073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S188P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CM122600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W189R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CM122599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W189G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CM122610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P191L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CM122611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N197I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CM062736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A201V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CM122596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M202T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CM040997/VAR_033074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M202V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CM062733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Q203P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lastRenderedPageBreak/>
              <w:t>30.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CM122601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A205T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CM122612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W208R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CM062739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G210V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I221F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CM040998/VAR_033075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E227K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CM122614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S229P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CM070930/VAR_033076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L234V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CM052235/VAR_033077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S235P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CM070928/VAR_033078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G361S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CM122616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G361D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CM122615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G361C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CM122605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G363R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CM070932/VAR_033079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G363E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VAR_035917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R566Q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VAR_035918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N663K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VAR_035919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T703K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CM041000/VAR_033080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G751R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VAR_017182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V1018M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VAR_017183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D1157N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VAR_031392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E1179K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CM1314442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R1219W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VAR_033081/CM070931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L1431R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52.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VAR_031393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V1471M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CM122617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L1527H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CM122618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L1527P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VAR_035920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A1534G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56.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CM061771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S1535N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CM122619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A1541P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58.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CM122620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I1542T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CM061773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A1547D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CM041002/VAR_033083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G1586R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67.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VAR_033084/CM070933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V1592D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CM122621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Y1594S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63.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CM122622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I1599F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64.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CM062743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S1602P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65.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CM122623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S1602Y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66.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VAR_033085/CM070929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P1603L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lastRenderedPageBreak/>
              <w:t>67.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CM062737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G1612D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68.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CM122717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A1643P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CM062741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A1643S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70.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CM061772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G1644W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71.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CM122624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G1646S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72.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CM041004/VAR_033086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G1691S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73.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CM122626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G1691D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74.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CM122625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G1691C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75.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CM122606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G1692S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76.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CM122602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P1699S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77.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CM070934/VAR_033087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G1834R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78.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CM1314443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D1870G</w:t>
            </w:r>
          </w:p>
        </w:tc>
      </w:tr>
      <w:tr w:rsidR="00F30AA7" w:rsidRPr="00276FFC" w:rsidTr="006C2B40">
        <w:tc>
          <w:tcPr>
            <w:tcW w:w="1912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79.</w:t>
            </w:r>
          </w:p>
        </w:tc>
        <w:tc>
          <w:tcPr>
            <w:tcW w:w="3030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CM122627</w:t>
            </w:r>
          </w:p>
        </w:tc>
        <w:tc>
          <w:tcPr>
            <w:tcW w:w="2496" w:type="dxa"/>
            <w:vAlign w:val="center"/>
          </w:tcPr>
          <w:p w:rsidR="00F30AA7" w:rsidRPr="00276FFC" w:rsidRDefault="00F30AA7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S1902R</w:t>
            </w:r>
          </w:p>
        </w:tc>
      </w:tr>
    </w:tbl>
    <w:p w:rsidR="00E9287B" w:rsidRPr="00276FFC" w:rsidRDefault="00E9287B" w:rsidP="00E9287B">
      <w:pPr>
        <w:rPr>
          <w:rFonts w:ascii="Palatino Linotype" w:hAnsi="Palatino Linotype" w:cs="Times New Roman"/>
          <w:sz w:val="18"/>
          <w:szCs w:val="18"/>
        </w:rPr>
      </w:pPr>
      <w:r w:rsidRPr="00276FFC">
        <w:rPr>
          <w:rFonts w:ascii="Palatino Linotype" w:hAnsi="Palatino Linotype" w:cs="Times New Roman"/>
          <w:sz w:val="18"/>
          <w:szCs w:val="18"/>
        </w:rPr>
        <w:t>Variants mentioned in bold are predicted to be highly conserved from ConSurf analysis</w:t>
      </w:r>
    </w:p>
    <w:p w:rsidR="00F30AA7" w:rsidRPr="00276FFC" w:rsidRDefault="00F30AA7" w:rsidP="00F30AA7">
      <w:pPr>
        <w:rPr>
          <w:rFonts w:ascii="Palatino Linotype" w:hAnsi="Palatino Linotype"/>
          <w:sz w:val="18"/>
          <w:szCs w:val="18"/>
        </w:rPr>
      </w:pPr>
    </w:p>
    <w:p w:rsidR="00F30AA7" w:rsidRPr="00276FFC" w:rsidRDefault="00F30AA7" w:rsidP="00F30AA7">
      <w:pPr>
        <w:spacing w:line="360" w:lineRule="auto"/>
        <w:jc w:val="both"/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</w:pPr>
      <w:r w:rsidRPr="00276FFC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 xml:space="preserve">Table </w:t>
      </w:r>
      <w:r w:rsidR="00791739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>S</w:t>
      </w:r>
      <w:r w:rsidRPr="00276FFC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 xml:space="preserve">2. Pathogenicity analysis </w:t>
      </w:r>
      <w:r w:rsidR="00276FFC" w:rsidRPr="00276FFC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>result of FLNB missense variant</w:t>
      </w:r>
      <w:r w:rsidRPr="00276FFC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>s using PredictSNP server</w:t>
      </w:r>
      <w:r w:rsidR="00FC19A2">
        <w:rPr>
          <w:rFonts w:ascii="Palatino Linotype" w:hAnsi="Palatino Linotype" w:cs="Times New Roman"/>
          <w:b/>
          <w:color w:val="000000"/>
          <w:sz w:val="18"/>
          <w:szCs w:val="18"/>
          <w:shd w:val="clear" w:color="auto" w:fill="FFFFFF"/>
        </w:rPr>
        <w:t>.</w:t>
      </w:r>
    </w:p>
    <w:tbl>
      <w:tblPr>
        <w:tblStyle w:val="TableGrid"/>
        <w:tblW w:w="8163" w:type="dxa"/>
        <w:jc w:val="center"/>
        <w:tblLayout w:type="fixed"/>
        <w:tblLook w:val="04A0" w:firstRow="1" w:lastRow="0" w:firstColumn="1" w:lastColumn="0" w:noHBand="0" w:noVBand="1"/>
      </w:tblPr>
      <w:tblGrid>
        <w:gridCol w:w="672"/>
        <w:gridCol w:w="1168"/>
        <w:gridCol w:w="1070"/>
        <w:gridCol w:w="875"/>
        <w:gridCol w:w="973"/>
        <w:gridCol w:w="1070"/>
        <w:gridCol w:w="1070"/>
        <w:gridCol w:w="584"/>
        <w:gridCol w:w="681"/>
      </w:tblGrid>
      <w:tr w:rsidR="00F30AA7" w:rsidRPr="00276FFC" w:rsidTr="00C7467F">
        <w:trPr>
          <w:trHeight w:val="517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S.No</w:t>
            </w:r>
          </w:p>
        </w:tc>
        <w:tc>
          <w:tcPr>
            <w:tcW w:w="1168" w:type="dxa"/>
            <w:vAlign w:val="center"/>
          </w:tcPr>
          <w:p w:rsidR="00F30AA7" w:rsidRPr="00276FFC" w:rsidRDefault="00276FFC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Variants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PredictSNP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MAPP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PhD-SNP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PolyPhen-1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PolyPhen-2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SIFT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SNAP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W148R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N160T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F161C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Q163P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W165C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D167E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D167G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D167V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G168S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G168V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G168C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A170P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L171Q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L171R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A173T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A173V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G181R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G181D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G181V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C183W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S188P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W189R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W189G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P191L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N197I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A201V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M202T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M202V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Q203P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A205T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W208R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G210V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I221F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45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E227K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S229P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L234V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45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S235P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G361S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G361D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G361C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G363R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G363E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R566Q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N663K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T703K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G751R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V1018M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D1157N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E1179K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R1219W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L1431R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lastRenderedPageBreak/>
              <w:t>52.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V1471M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L1527H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L1527P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A1534G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56.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S1535N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A1541P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58.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I1542T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A1547D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G1586R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5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67.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V1592D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Y1594S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63.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I1599F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64.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S1602P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65.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S1602Y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66.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P1603L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67.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G1612D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68.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A1643P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A1643S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70.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G1644W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71.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G1646S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72.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G1691S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73.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G1691D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74..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G1691C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75.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G1692S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76.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P1699S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463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77.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G1834R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3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78.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D1870G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  <w:tr w:rsidR="00F30AA7" w:rsidRPr="00276FFC" w:rsidTr="00C7467F">
        <w:trPr>
          <w:trHeight w:val="226"/>
          <w:jc w:val="center"/>
        </w:trPr>
        <w:tc>
          <w:tcPr>
            <w:tcW w:w="672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79.</w:t>
            </w:r>
          </w:p>
        </w:tc>
        <w:tc>
          <w:tcPr>
            <w:tcW w:w="1168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S1902R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875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73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070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584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681" w:type="dxa"/>
            <w:vAlign w:val="center"/>
          </w:tcPr>
          <w:p w:rsidR="00F30AA7" w:rsidRPr="00276FFC" w:rsidRDefault="00F30AA7" w:rsidP="00C7467F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</w:t>
            </w:r>
          </w:p>
        </w:tc>
      </w:tr>
    </w:tbl>
    <w:p w:rsidR="00F30AA7" w:rsidRPr="00276FFC" w:rsidRDefault="00603461" w:rsidP="00F30AA7">
      <w:pPr>
        <w:rPr>
          <w:rFonts w:ascii="Palatino Linotype" w:hAnsi="Palatino Linotype" w:cs="Times New Roman"/>
          <w:sz w:val="18"/>
          <w:szCs w:val="18"/>
        </w:rPr>
      </w:pPr>
      <w:r w:rsidRPr="00276FFC">
        <w:rPr>
          <w:rFonts w:ascii="Palatino Linotype" w:hAnsi="Palatino Linotype"/>
          <w:sz w:val="18"/>
          <w:szCs w:val="18"/>
        </w:rPr>
        <w:t>D-deleterious; N-Neutral;</w:t>
      </w:r>
      <w:r w:rsidR="00F30AA7" w:rsidRPr="00276FFC">
        <w:rPr>
          <w:rFonts w:ascii="Palatino Linotype" w:hAnsi="Palatino Linotype"/>
          <w:sz w:val="18"/>
          <w:szCs w:val="18"/>
        </w:rPr>
        <w:t xml:space="preserve"> U-Unknown</w:t>
      </w:r>
      <w:r w:rsidR="00B14FA8">
        <w:rPr>
          <w:rFonts w:ascii="Palatino Linotype" w:hAnsi="Palatino Linotype"/>
          <w:sz w:val="18"/>
          <w:szCs w:val="18"/>
        </w:rPr>
        <w:t xml:space="preserve">; </w:t>
      </w:r>
      <w:r w:rsidR="00276FFC" w:rsidRPr="00276FFC">
        <w:rPr>
          <w:rFonts w:ascii="Palatino Linotype" w:hAnsi="Palatino Linotype" w:cs="Times New Roman"/>
          <w:sz w:val="18"/>
          <w:szCs w:val="18"/>
        </w:rPr>
        <w:t>Variant</w:t>
      </w:r>
      <w:r w:rsidRPr="00276FFC">
        <w:rPr>
          <w:rFonts w:ascii="Palatino Linotype" w:hAnsi="Palatino Linotype" w:cs="Times New Roman"/>
          <w:sz w:val="18"/>
          <w:szCs w:val="18"/>
        </w:rPr>
        <w:t>s mentioned in bold are predicted to be highly conserved from ConSurf analysis</w:t>
      </w:r>
    </w:p>
    <w:p w:rsidR="00F30AA7" w:rsidRPr="00276FFC" w:rsidRDefault="00F30AA7" w:rsidP="00F30AA7">
      <w:pPr>
        <w:spacing w:line="360" w:lineRule="auto"/>
        <w:jc w:val="both"/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</w:pPr>
      <w:r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 xml:space="preserve">Table </w:t>
      </w:r>
      <w:r w:rsidR="00791739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>S</w:t>
      </w:r>
      <w:r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 xml:space="preserve">3. Stability prediction </w:t>
      </w:r>
      <w:r w:rsidR="00276FFC"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>result of FLNB missense variant</w:t>
      </w:r>
      <w:r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>s using iStable server.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88"/>
        <w:gridCol w:w="1168"/>
        <w:gridCol w:w="1585"/>
        <w:gridCol w:w="666"/>
        <w:gridCol w:w="817"/>
        <w:gridCol w:w="1302"/>
        <w:gridCol w:w="1088"/>
        <w:gridCol w:w="1302"/>
      </w:tblGrid>
      <w:tr w:rsidR="00533A1E" w:rsidRPr="00276FFC" w:rsidTr="00533A1E">
        <w:trPr>
          <w:trHeight w:val="300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en-IN"/>
              </w:rPr>
              <w:t>S.No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276FFC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Variants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en-IN"/>
              </w:rPr>
              <w:t>i-Mutant2.0 SEQ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en-IN"/>
              </w:rPr>
              <w:t>DDG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en-IN"/>
              </w:rPr>
              <w:t>MUpro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en-IN"/>
              </w:rPr>
              <w:t>Conf. score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en-IN"/>
              </w:rPr>
              <w:t>iStable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en-IN"/>
              </w:rPr>
              <w:t>Conf. score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W148R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-0.49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-0.54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0.79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N160T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-0.05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0.51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F161C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-0.92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-0.63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0.73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Q163P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-0.08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lastRenderedPageBreak/>
              <w:t>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W165C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-1.05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-0.26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0.87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D167E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0.32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-0.66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0.61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D167G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0.68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D167V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0.32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-0.58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G168S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0.79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G168V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N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0.72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11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G168C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-0.75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-0.63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0.78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A170P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0.82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13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L171Q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-1.29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0.86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14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L171R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-1.15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  <w:lang w:eastAsia="en-IN"/>
              </w:rPr>
              <w:t>0.85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A173T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0.76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A173V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-0.30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0.55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G181R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0.39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0.62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G181D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-0.79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0.62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G181V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0.11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0.67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C183W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0.35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-0.26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0.50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S188P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0.18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-0.77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W189R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N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W189G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-1.45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0.80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P191L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-0.53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N197I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1.83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-0.24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0.56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A201V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-0.34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-0.05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M202T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0.78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M202V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-0.69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0.78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29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Q203P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A205T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-0.55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0.89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W208R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-0.63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0.69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G210V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-0.27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-0.51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0.77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I221F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-0.69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0.90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E227K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-0.09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0.75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S229P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-0.04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0.65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L234V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-1.39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-0.82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0.80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S235P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0.12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-0.27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0.52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G361S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N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-0.65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0.71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39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G361D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-0.98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-0.07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0.77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G361C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-0.84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0.79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G363R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-0.58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0.52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G363E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-0.77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0.71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R566Q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-0.26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-0.92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0.59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N663K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-0.39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0.36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0.71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T703K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-0.69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G751R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-0.27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0.78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V1018M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-1.35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0.69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D1157N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-0.58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49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E1179K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N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0.76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lastRenderedPageBreak/>
              <w:t>50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R1219W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-0.95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51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L1431R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-1.65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-0.69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52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V1471M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0.72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53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L1527H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-1.72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54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L1527P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0.81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55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A1534G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-0.89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56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S1535N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-0.34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-0.54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0.50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57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A1541P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0.50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58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I1542T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-2.18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0.86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59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A1547D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0.65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G1586R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-0.02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0.17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0.70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V1592D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-1.45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-0.21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0.76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Y1594S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-1.32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0.85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I1599F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-1.89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S1602P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0.56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S1602Y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0.38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0.79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P1603L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-0.35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0.78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G1612D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-0.27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A1643P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0.42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69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A1643S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0.33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0.75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G1644W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-0.01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-0.75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G1646S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-0.79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-0.72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0.84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G1691S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-0.92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0.83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G1691D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-0.48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-0.38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0.81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G1691C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-0.93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-0.60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0.82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G1692S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0.75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P1699S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N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-1.28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0.60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G1834R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0.10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0.58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D1870G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-0.26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-1.00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D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0.55</w:t>
            </w:r>
          </w:p>
        </w:tc>
      </w:tr>
      <w:tr w:rsidR="00533A1E" w:rsidRPr="00276FFC" w:rsidTr="00533A1E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79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S1902R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0.28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0.10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1E" w:rsidRPr="00276FFC" w:rsidRDefault="00533A1E" w:rsidP="00533A1E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IN" w:eastAsia="en-IN"/>
              </w:rPr>
            </w:pPr>
            <w:r w:rsidRPr="00276FF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en-IN"/>
              </w:rPr>
              <w:t>0.79</w:t>
            </w:r>
          </w:p>
        </w:tc>
      </w:tr>
    </w:tbl>
    <w:p w:rsidR="00603461" w:rsidRPr="00276FFC" w:rsidRDefault="00533A1E" w:rsidP="00F30AA7">
      <w:pPr>
        <w:rPr>
          <w:rFonts w:ascii="Palatino Linotype" w:hAnsi="Palatino Linotype"/>
          <w:sz w:val="18"/>
          <w:szCs w:val="18"/>
        </w:rPr>
      </w:pPr>
      <w:r w:rsidRPr="00276FFC">
        <w:rPr>
          <w:rFonts w:ascii="Palatino Linotype" w:hAnsi="Palatino Linotype"/>
          <w:sz w:val="18"/>
          <w:szCs w:val="18"/>
        </w:rPr>
        <w:t>D-Decreasing;</w:t>
      </w:r>
      <w:r w:rsidR="00F30AA7" w:rsidRPr="00276FFC">
        <w:rPr>
          <w:rFonts w:ascii="Palatino Linotype" w:hAnsi="Palatino Linotype"/>
          <w:sz w:val="18"/>
          <w:szCs w:val="18"/>
        </w:rPr>
        <w:t xml:space="preserve"> I-Increasing</w:t>
      </w:r>
      <w:r w:rsidRPr="00276FFC">
        <w:rPr>
          <w:rFonts w:ascii="Palatino Linotype" w:hAnsi="Palatino Linotype"/>
          <w:sz w:val="18"/>
          <w:szCs w:val="18"/>
        </w:rPr>
        <w:t>; N- Null</w:t>
      </w:r>
      <w:r w:rsidR="006B0C38">
        <w:rPr>
          <w:rFonts w:ascii="Palatino Linotype" w:hAnsi="Palatino Linotype"/>
          <w:sz w:val="18"/>
          <w:szCs w:val="18"/>
        </w:rPr>
        <w:t xml:space="preserve">; </w:t>
      </w:r>
      <w:r w:rsidR="00161630">
        <w:rPr>
          <w:rFonts w:ascii="Palatino Linotype" w:hAnsi="Palatino Linotype"/>
          <w:sz w:val="18"/>
          <w:szCs w:val="18"/>
        </w:rPr>
        <w:t>Variant</w:t>
      </w:r>
      <w:r w:rsidR="00603461" w:rsidRPr="00276FFC">
        <w:rPr>
          <w:rFonts w:ascii="Palatino Linotype" w:hAnsi="Palatino Linotype"/>
          <w:sz w:val="18"/>
          <w:szCs w:val="18"/>
        </w:rPr>
        <w:t>s mentioned in bold are predicted to be highly conserved from ConSurf analysis</w:t>
      </w:r>
    </w:p>
    <w:p w:rsidR="00F30AA7" w:rsidRPr="00276FFC" w:rsidRDefault="00F30AA7" w:rsidP="00F30AA7">
      <w:pPr>
        <w:rPr>
          <w:rFonts w:ascii="Palatino Linotype" w:hAnsi="Palatino Linotype"/>
          <w:sz w:val="18"/>
          <w:szCs w:val="18"/>
        </w:rPr>
      </w:pPr>
    </w:p>
    <w:p w:rsidR="00F30AA7" w:rsidRPr="00276FFC" w:rsidRDefault="00F30AA7" w:rsidP="00F30AA7">
      <w:pPr>
        <w:autoSpaceDE w:val="0"/>
        <w:autoSpaceDN w:val="0"/>
        <w:adjustRightInd w:val="0"/>
        <w:spacing w:after="0" w:line="360" w:lineRule="auto"/>
        <w:jc w:val="both"/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</w:pPr>
      <w:r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 xml:space="preserve">Table </w:t>
      </w:r>
      <w:r w:rsidR="00791739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>S</w:t>
      </w:r>
      <w:r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>4. Biochemical and physicochemical c</w:t>
      </w:r>
      <w:r w:rsid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>haracterization of FLNB variants</w:t>
      </w:r>
      <w:r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 xml:space="preserve"> (missense) using Align GVGD server.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39"/>
        <w:gridCol w:w="1724"/>
        <w:gridCol w:w="1263"/>
      </w:tblGrid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S.No</w:t>
            </w:r>
          </w:p>
        </w:tc>
        <w:tc>
          <w:tcPr>
            <w:tcW w:w="1724" w:type="dxa"/>
            <w:vAlign w:val="center"/>
          </w:tcPr>
          <w:p w:rsidR="00533A1E" w:rsidRPr="00276FFC" w:rsidRDefault="00276FFC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Variant</w:t>
            </w:r>
            <w:r w:rsidR="00CE42ED" w:rsidRPr="00276FFC"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Prediction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W148R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N160T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F161C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Q163P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W165C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D167E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C35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lastRenderedPageBreak/>
              <w:t>7.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D167G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D167V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G168S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G168V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G168C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A170P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C25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L171Q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  <w:t>L171R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A173T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A173V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G181R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G181D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G181V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C183W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S188P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W189R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W189G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P191L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N197I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A201V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M202T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M202V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C15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Q203P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A205T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W208R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G210V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I221F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C15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E227K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S229P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L234V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C25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  <w:t>S235P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Calibri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G361S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G361D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G361C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G363R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G363E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R566Q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C35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lastRenderedPageBreak/>
              <w:t>44.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N663K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T703K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G751R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V1018M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C15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D1157N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C15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E1179K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R1219W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L1431R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52.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V1471M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C15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L1527H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L1527P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A1534G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56.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S1535N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C45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A1541P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C25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58.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I1542T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A1547D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G1586R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67.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V1592D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Y1594S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63.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I1599F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C15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64.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S1602P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65.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S1602Y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66.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P1603L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67.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G1612D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68.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A1643P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C25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A1643S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70.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G1644W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71.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G1646S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72.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G1691S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73.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G1691D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74.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G1691C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75.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G1692S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C55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76.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P1699S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77.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G1834R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78.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D1870G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  <w:tr w:rsidR="00533A1E" w:rsidRPr="00276FFC" w:rsidTr="00F30AA7">
        <w:trPr>
          <w:jc w:val="center"/>
        </w:trPr>
        <w:tc>
          <w:tcPr>
            <w:tcW w:w="1139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79.</w:t>
            </w:r>
          </w:p>
        </w:tc>
        <w:tc>
          <w:tcPr>
            <w:tcW w:w="1724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S1902R</w:t>
            </w:r>
          </w:p>
        </w:tc>
        <w:tc>
          <w:tcPr>
            <w:tcW w:w="1263" w:type="dxa"/>
            <w:vAlign w:val="center"/>
          </w:tcPr>
          <w:p w:rsidR="00533A1E" w:rsidRPr="00276FFC" w:rsidRDefault="00533A1E" w:rsidP="006C2B40">
            <w:pPr>
              <w:spacing w:line="360" w:lineRule="auto"/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276FFC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Class C65</w:t>
            </w:r>
          </w:p>
        </w:tc>
      </w:tr>
    </w:tbl>
    <w:p w:rsidR="00603461" w:rsidRPr="00276FFC" w:rsidRDefault="00276FFC" w:rsidP="00603461">
      <w:pPr>
        <w:rPr>
          <w:rFonts w:ascii="Palatino Linotype" w:hAnsi="Palatino Linotype" w:cs="Times New Roman"/>
          <w:sz w:val="18"/>
          <w:szCs w:val="18"/>
        </w:rPr>
      </w:pPr>
      <w:r>
        <w:rPr>
          <w:rFonts w:ascii="Palatino Linotype" w:hAnsi="Palatino Linotype" w:cs="Times New Roman"/>
          <w:sz w:val="18"/>
          <w:szCs w:val="18"/>
        </w:rPr>
        <w:t>Variant</w:t>
      </w:r>
      <w:r w:rsidR="00603461" w:rsidRPr="00276FFC">
        <w:rPr>
          <w:rFonts w:ascii="Palatino Linotype" w:hAnsi="Palatino Linotype" w:cs="Times New Roman"/>
          <w:sz w:val="18"/>
          <w:szCs w:val="18"/>
        </w:rPr>
        <w:t>s mentioned in bold are predicted to be highly conserved from ConSurf analysis</w:t>
      </w:r>
    </w:p>
    <w:p w:rsidR="00955CAE" w:rsidRPr="00276FFC" w:rsidRDefault="002C4DCD">
      <w:pPr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</w:pPr>
      <w:bookmarkStart w:id="0" w:name="_GoBack"/>
      <w:bookmarkEnd w:id="0"/>
      <w:r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lastRenderedPageBreak/>
        <w:t xml:space="preserve">Table </w:t>
      </w:r>
      <w:r w:rsidR="00791739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>S</w:t>
      </w:r>
      <w:r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>5.</w:t>
      </w:r>
      <w:r w:rsidR="008A0DE6"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 xml:space="preserve"> The URLs are provided</w:t>
      </w:r>
      <w:r w:rsidR="00BC73A8"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 xml:space="preserve"> for the datasets and tool predictions</w:t>
      </w:r>
      <w:r w:rsidR="008851E7" w:rsidRPr="00276FFC">
        <w:rPr>
          <w:rFonts w:ascii="Palatino Linotype" w:hAnsi="Palatino Linotype" w:cs="Times New Roman"/>
          <w:b/>
          <w:color w:val="000000" w:themeColor="text1"/>
          <w:sz w:val="18"/>
          <w:szCs w:val="18"/>
          <w:shd w:val="clear" w:color="auto" w:fill="FFFFFF"/>
        </w:rPr>
        <w:t>.</w:t>
      </w:r>
    </w:p>
    <w:tbl>
      <w:tblPr>
        <w:tblW w:w="6713" w:type="dxa"/>
        <w:jc w:val="center"/>
        <w:tblLook w:val="04A0" w:firstRow="1" w:lastRow="0" w:firstColumn="1" w:lastColumn="0" w:noHBand="0" w:noVBand="1"/>
      </w:tblPr>
      <w:tblGrid>
        <w:gridCol w:w="2056"/>
        <w:gridCol w:w="4657"/>
      </w:tblGrid>
      <w:tr w:rsidR="00BC73A8" w:rsidRPr="00276FFC" w:rsidTr="00745EEA">
        <w:trPr>
          <w:trHeight w:val="329"/>
          <w:jc w:val="center"/>
        </w:trPr>
        <w:tc>
          <w:tcPr>
            <w:tcW w:w="6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  <w:t>Dataset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  <w:t>Website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  <w:t>Hyperlinks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Google Scholar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https://scholar.google.com/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PubMed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https://pubmed.ncbi.nlm.nih.gov/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Science Direct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https://www.sciencedirect.com/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PubMed Central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https://www.ncbi.nlm.nih.gov/pmc/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Protein Sequence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https://www.uniprot.org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Protein Structure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https://www.rcsb.org/</w:t>
            </w:r>
          </w:p>
        </w:tc>
      </w:tr>
      <w:tr w:rsidR="00440F4C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F4C" w:rsidRPr="00276FFC" w:rsidRDefault="00440F4C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HGMD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F4C" w:rsidRPr="00276FFC" w:rsidRDefault="00440F4C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http://www.hgmd.cf.ac.uk/ac/all.php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6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  <w:t>Tool predictions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  <w:t>Tools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n-IN"/>
              </w:rPr>
              <w:t>Hyperlinks</w:t>
            </w:r>
          </w:p>
        </w:tc>
      </w:tr>
      <w:tr w:rsidR="00BC73A8" w:rsidRPr="00276FFC" w:rsidTr="00745EEA">
        <w:trPr>
          <w:trHeight w:val="438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Align-GVGD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http:/agvgd.iarc.fr/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ConSurf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http:/consurf.tau.ac.il/2016/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PredictSNP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https:/loschmidt.chemi.muni.cz /predictsnp/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iStable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http://predictor.nchu.edu.tw/istable/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SNPeffect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http://snpeffect.switchlab.org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HOPE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https://www3.cmbi.umcn.nl/hope/</w:t>
            </w:r>
          </w:p>
        </w:tc>
      </w:tr>
      <w:tr w:rsidR="00BC73A8" w:rsidRPr="00276FFC" w:rsidTr="00745EEA">
        <w:trPr>
          <w:trHeight w:val="329"/>
          <w:jc w:val="center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Swiss-PDB viewer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3A8" w:rsidRPr="00276FFC" w:rsidRDefault="00BC73A8" w:rsidP="00E9312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</w:pPr>
            <w:r w:rsidRPr="00276FF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IN"/>
              </w:rPr>
              <w:t>https://spdbv.vital-it.ch/</w:t>
            </w:r>
          </w:p>
        </w:tc>
      </w:tr>
    </w:tbl>
    <w:p w:rsidR="00BC73A8" w:rsidRPr="00276FFC" w:rsidRDefault="00BC73A8">
      <w:pPr>
        <w:rPr>
          <w:rFonts w:ascii="Palatino Linotype" w:hAnsi="Palatino Linotype"/>
          <w:sz w:val="18"/>
          <w:szCs w:val="18"/>
        </w:rPr>
      </w:pPr>
    </w:p>
    <w:sectPr w:rsidR="00BC73A8" w:rsidRPr="00276F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C2E87"/>
    <w:multiLevelType w:val="hybridMultilevel"/>
    <w:tmpl w:val="E948F80E"/>
    <w:lvl w:ilvl="0" w:tplc="F470FFB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65D30"/>
    <w:multiLevelType w:val="hybridMultilevel"/>
    <w:tmpl w:val="E948F80E"/>
    <w:lvl w:ilvl="0" w:tplc="F470FFB8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222222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C0F68E1"/>
    <w:multiLevelType w:val="hybridMultilevel"/>
    <w:tmpl w:val="E948F80E"/>
    <w:lvl w:ilvl="0" w:tplc="F470FFB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F0AE2"/>
    <w:multiLevelType w:val="hybridMultilevel"/>
    <w:tmpl w:val="88B29C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wsrQ0sDA1MTM1NbdQ0lEKTi0uzszPAykwNKwFAKPCBjQtAAAA"/>
  </w:docVars>
  <w:rsids>
    <w:rsidRoot w:val="008C238E"/>
    <w:rsid w:val="00021E42"/>
    <w:rsid w:val="00161630"/>
    <w:rsid w:val="001A749D"/>
    <w:rsid w:val="00276FFC"/>
    <w:rsid w:val="002C4DCD"/>
    <w:rsid w:val="00440F4C"/>
    <w:rsid w:val="004E26BC"/>
    <w:rsid w:val="00533A1E"/>
    <w:rsid w:val="00603461"/>
    <w:rsid w:val="006B0C38"/>
    <w:rsid w:val="006C2B40"/>
    <w:rsid w:val="00745EEA"/>
    <w:rsid w:val="00791739"/>
    <w:rsid w:val="008851E7"/>
    <w:rsid w:val="008A0DE6"/>
    <w:rsid w:val="008B1466"/>
    <w:rsid w:val="008C238E"/>
    <w:rsid w:val="00955CAE"/>
    <w:rsid w:val="00A40D48"/>
    <w:rsid w:val="00AE493D"/>
    <w:rsid w:val="00B14FA8"/>
    <w:rsid w:val="00B34AB4"/>
    <w:rsid w:val="00BC73A8"/>
    <w:rsid w:val="00C7467F"/>
    <w:rsid w:val="00CE42ED"/>
    <w:rsid w:val="00E9287B"/>
    <w:rsid w:val="00E96158"/>
    <w:rsid w:val="00F30AA7"/>
    <w:rsid w:val="00FC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0CD6B"/>
  <w15:chartTrackingRefBased/>
  <w15:docId w15:val="{584F0D9A-B71E-4AEC-A140-78EB05D9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46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AA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0AA7"/>
    <w:pPr>
      <w:ind w:left="720"/>
      <w:contextualSpacing/>
    </w:pPr>
  </w:style>
  <w:style w:type="character" w:customStyle="1" w:styleId="word">
    <w:name w:val="word"/>
    <w:basedOn w:val="DefaultParagraphFont"/>
    <w:rsid w:val="00F30AA7"/>
  </w:style>
  <w:style w:type="character" w:styleId="Hyperlink">
    <w:name w:val="Hyperlink"/>
    <w:basedOn w:val="DefaultParagraphFont"/>
    <w:uiPriority w:val="99"/>
    <w:unhideWhenUsed/>
    <w:rsid w:val="00F30A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30A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A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AA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A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AA7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AA7"/>
    <w:rPr>
      <w:rFonts w:ascii="Segoe UI" w:hAnsi="Segoe UI" w:cs="Segoe UI"/>
      <w:sz w:val="18"/>
      <w:szCs w:val="18"/>
      <w:lang w:val="en-US"/>
    </w:rPr>
  </w:style>
  <w:style w:type="character" w:customStyle="1" w:styleId="nd-word">
    <w:name w:val="nd-word"/>
    <w:basedOn w:val="DefaultParagraphFont"/>
    <w:rsid w:val="00F30AA7"/>
  </w:style>
  <w:style w:type="paragraph" w:customStyle="1" w:styleId="Default">
    <w:name w:val="Default"/>
    <w:rsid w:val="00F30A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ormal0">
    <w:name w:val="[Normal]"/>
    <w:uiPriority w:val="99"/>
    <w:rsid w:val="00F30A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30AA7"/>
    <w:pPr>
      <w:spacing w:after="0" w:line="240" w:lineRule="auto"/>
    </w:pPr>
    <w:rPr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F30AA7"/>
    <w:pPr>
      <w:spacing w:after="0"/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30AA7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30AA7"/>
    <w:pPr>
      <w:spacing w:line="240" w:lineRule="auto"/>
      <w:jc w:val="both"/>
    </w:pPr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F30AA7"/>
    <w:rPr>
      <w:rFonts w:ascii="Calibri" w:hAnsi="Calibri"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30A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Thirumal</dc:creator>
  <cp:keywords/>
  <dc:description/>
  <cp:lastModifiedBy>Udhaya Kumar S</cp:lastModifiedBy>
  <cp:revision>27</cp:revision>
  <dcterms:created xsi:type="dcterms:W3CDTF">2020-11-05T06:05:00Z</dcterms:created>
  <dcterms:modified xsi:type="dcterms:W3CDTF">2020-11-25T09:36:00Z</dcterms:modified>
</cp:coreProperties>
</file>