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84974" w14:textId="0E67F8D1" w:rsidR="002E0001" w:rsidRPr="00C227DD" w:rsidRDefault="002E0001" w:rsidP="00C26A33">
      <w:pPr>
        <w:spacing w:line="240" w:lineRule="exact"/>
        <w:rPr>
          <w:rFonts w:ascii="Palatino Linotype" w:eastAsia="CharisSIL" w:hAnsi="Palatino Linotype"/>
          <w:b/>
          <w:bCs/>
          <w:sz w:val="20"/>
          <w:szCs w:val="20"/>
          <w:lang w:val="en-US"/>
        </w:rPr>
      </w:pPr>
      <w:r w:rsidRPr="00C26A33">
        <w:rPr>
          <w:rFonts w:ascii="Palatino Linotype" w:eastAsia="CharisSIL" w:hAnsi="Palatino Linotype"/>
          <w:b/>
          <w:bCs/>
          <w:sz w:val="20"/>
          <w:szCs w:val="20"/>
          <w:lang w:val="en-US"/>
        </w:rPr>
        <w:t>Table</w:t>
      </w:r>
      <w:r w:rsidR="00C227DD">
        <w:rPr>
          <w:rFonts w:ascii="Palatino Linotype" w:eastAsia="CharisSIL" w:hAnsi="Palatino Linotype"/>
          <w:b/>
          <w:bCs/>
          <w:sz w:val="20"/>
          <w:szCs w:val="20"/>
          <w:lang w:val="en-US"/>
        </w:rPr>
        <w:t xml:space="preserve"> </w:t>
      </w:r>
      <w:r w:rsidR="00326B10">
        <w:rPr>
          <w:rFonts w:ascii="Palatino Linotype" w:eastAsia="CharisSIL" w:hAnsi="Palatino Linotype"/>
          <w:b/>
          <w:bCs/>
          <w:sz w:val="20"/>
          <w:szCs w:val="20"/>
          <w:lang w:val="en-US"/>
        </w:rPr>
        <w:t>S4</w:t>
      </w:r>
      <w:r w:rsidR="00C227DD">
        <w:rPr>
          <w:rFonts w:ascii="Palatino Linotype" w:eastAsia="CharisSIL" w:hAnsi="Palatino Linotype"/>
          <w:b/>
          <w:bCs/>
          <w:sz w:val="20"/>
          <w:szCs w:val="20"/>
          <w:lang w:val="en-US"/>
        </w:rPr>
        <w:t>.</w:t>
      </w:r>
      <w:r w:rsidRPr="00C26A33">
        <w:rPr>
          <w:rFonts w:ascii="Palatino Linotype" w:eastAsia="CharisSIL" w:hAnsi="Palatino Linotype"/>
          <w:sz w:val="20"/>
          <w:szCs w:val="20"/>
          <w:lang w:val="en-US"/>
        </w:rPr>
        <w:t xml:space="preserve"> </w:t>
      </w:r>
      <w:r w:rsidRPr="00C227DD">
        <w:rPr>
          <w:rFonts w:ascii="Palatino Linotype" w:eastAsia="CharisSIL" w:hAnsi="Palatino Linotype"/>
          <w:b/>
          <w:bCs/>
          <w:sz w:val="20"/>
          <w:szCs w:val="20"/>
          <w:lang w:val="en-US"/>
        </w:rPr>
        <w:t>Matrix effects assessed in LC-MS/MS and GC-MS/MS systems for all analytes. No matrix effect (ME) corresponds to |</w:t>
      </w:r>
      <w:r w:rsidRPr="00C227DD">
        <w:rPr>
          <w:rFonts w:ascii="Palatino Linotype" w:eastAsia="CharisSIL" w:hAnsi="Palatino Linotype"/>
          <w:b/>
          <w:bCs/>
          <w:sz w:val="20"/>
          <w:szCs w:val="20"/>
        </w:rPr>
        <w:t>ΜΕ</w:t>
      </w:r>
      <w:r w:rsidRPr="00C227DD">
        <w:rPr>
          <w:rFonts w:ascii="Palatino Linotype" w:eastAsia="CharisSIL" w:hAnsi="Palatino Linotype"/>
          <w:b/>
          <w:bCs/>
          <w:sz w:val="20"/>
          <w:szCs w:val="20"/>
          <w:lang w:val="en-US"/>
        </w:rPr>
        <w:t xml:space="preserve">| </w:t>
      </w:r>
      <w:r w:rsidRPr="00C227DD">
        <w:rPr>
          <w:rFonts w:ascii="Palatino Linotype" w:hAnsi="Palatino Linotype"/>
          <w:b/>
          <w:bCs/>
          <w:sz w:val="20"/>
          <w:szCs w:val="20"/>
          <w:lang w:val="en-US"/>
        </w:rPr>
        <w:t>&lt;20%, Medium ME to 20%&lt;</w:t>
      </w:r>
      <w:r w:rsidRPr="00C227DD">
        <w:rPr>
          <w:rFonts w:ascii="Palatino Linotype" w:eastAsia="CharisSIL" w:hAnsi="Palatino Linotype"/>
          <w:b/>
          <w:bCs/>
          <w:sz w:val="20"/>
          <w:szCs w:val="20"/>
          <w:lang w:val="en-US"/>
        </w:rPr>
        <w:t>|</w:t>
      </w:r>
      <w:r w:rsidRPr="00C227DD">
        <w:rPr>
          <w:rFonts w:ascii="Palatino Linotype" w:eastAsia="CharisSIL" w:hAnsi="Palatino Linotype"/>
          <w:b/>
          <w:bCs/>
          <w:sz w:val="20"/>
          <w:szCs w:val="20"/>
        </w:rPr>
        <w:t>ΜΕ</w:t>
      </w:r>
      <w:r w:rsidRPr="00C227DD">
        <w:rPr>
          <w:rFonts w:ascii="Palatino Linotype" w:eastAsia="CharisSIL" w:hAnsi="Palatino Linotype"/>
          <w:b/>
          <w:bCs/>
          <w:sz w:val="20"/>
          <w:szCs w:val="20"/>
          <w:lang w:val="en-US"/>
        </w:rPr>
        <w:t>|&lt;50% and Strong ME to |</w:t>
      </w:r>
      <w:r w:rsidRPr="00C227DD">
        <w:rPr>
          <w:rFonts w:ascii="Palatino Linotype" w:eastAsia="CharisSIL" w:hAnsi="Palatino Linotype"/>
          <w:b/>
          <w:bCs/>
          <w:sz w:val="20"/>
          <w:szCs w:val="20"/>
        </w:rPr>
        <w:t>ΜΕ</w:t>
      </w:r>
      <w:r w:rsidRPr="00C227DD">
        <w:rPr>
          <w:rFonts w:ascii="Palatino Linotype" w:eastAsia="CharisSIL" w:hAnsi="Palatino Linotype"/>
          <w:b/>
          <w:bCs/>
          <w:sz w:val="20"/>
          <w:szCs w:val="20"/>
          <w:lang w:val="en-US"/>
        </w:rPr>
        <w:t>|&gt;50%, respectively.</w:t>
      </w:r>
    </w:p>
    <w:tbl>
      <w:tblPr>
        <w:tblStyle w:val="TableGrid"/>
        <w:tblW w:w="14312" w:type="dxa"/>
        <w:jc w:val="center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10910"/>
        <w:gridCol w:w="992"/>
        <w:gridCol w:w="1276"/>
        <w:gridCol w:w="1134"/>
      </w:tblGrid>
      <w:tr w:rsidR="00C26A33" w:rsidRPr="002E0001" w14:paraId="66272102" w14:textId="77777777" w:rsidTr="00C26A33">
        <w:trPr>
          <w:jc w:val="center"/>
        </w:trPr>
        <w:tc>
          <w:tcPr>
            <w:tcW w:w="10910" w:type="dxa"/>
          </w:tcPr>
          <w:p w14:paraId="0571E03C" w14:textId="77777777" w:rsidR="00C26A33" w:rsidRPr="002E0001" w:rsidRDefault="00C26A33" w:rsidP="00133E64">
            <w:pPr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en-US"/>
              </w:rPr>
            </w:pPr>
            <w:r w:rsidRPr="002E0001">
              <w:rPr>
                <w:rFonts w:ascii="Palatino Linotype" w:hAnsi="Palatino Linotype"/>
                <w:b/>
                <w:bCs/>
                <w:sz w:val="16"/>
                <w:szCs w:val="16"/>
                <w:lang w:val="en-US"/>
              </w:rPr>
              <w:t>Analytes</w:t>
            </w:r>
          </w:p>
        </w:tc>
        <w:tc>
          <w:tcPr>
            <w:tcW w:w="992" w:type="dxa"/>
          </w:tcPr>
          <w:p w14:paraId="7CB40B0D" w14:textId="77777777" w:rsidR="00C26A33" w:rsidRPr="002E0001" w:rsidRDefault="00C26A33" w:rsidP="00133E64">
            <w:pPr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en-US"/>
              </w:rPr>
            </w:pPr>
            <w:proofErr w:type="gramStart"/>
            <w:r w:rsidRPr="002E0001">
              <w:rPr>
                <w:rFonts w:ascii="Palatino Linotype" w:hAnsi="Palatino Linotype"/>
                <w:b/>
                <w:bCs/>
                <w:sz w:val="16"/>
                <w:szCs w:val="16"/>
                <w:lang w:val="en-US"/>
              </w:rPr>
              <w:t>No</w:t>
            </w:r>
            <w:proofErr w:type="gramEnd"/>
            <w:r w:rsidRPr="002E0001">
              <w:rPr>
                <w:rFonts w:ascii="Palatino Linotype" w:hAnsi="Palatino Linotype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b/>
                <w:bCs/>
                <w:sz w:val="16"/>
                <w:szCs w:val="16"/>
                <w:lang w:val="en-US"/>
              </w:rPr>
              <w:t>ME</w:t>
            </w:r>
            <w:r w:rsidRPr="002E0001">
              <w:rPr>
                <w:rFonts w:ascii="Palatino Linotype" w:hAnsi="Palatino Linotype"/>
                <w:b/>
                <w:bCs/>
                <w:sz w:val="16"/>
                <w:szCs w:val="16"/>
                <w:vertAlign w:val="superscript"/>
                <w:lang w:val="en-US"/>
              </w:rPr>
              <w:t>a</w:t>
            </w:r>
            <w:proofErr w:type="spellEnd"/>
          </w:p>
        </w:tc>
        <w:tc>
          <w:tcPr>
            <w:tcW w:w="1276" w:type="dxa"/>
          </w:tcPr>
          <w:p w14:paraId="2218E6D6" w14:textId="77777777" w:rsidR="00C26A33" w:rsidRPr="002E0001" w:rsidRDefault="00C26A33" w:rsidP="00133E64">
            <w:pPr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en-US"/>
              </w:rPr>
            </w:pPr>
            <w:r w:rsidRPr="002E0001">
              <w:rPr>
                <w:rFonts w:ascii="Palatino Linotype" w:hAnsi="Palatino Linotype"/>
                <w:b/>
                <w:bCs/>
                <w:sz w:val="16"/>
                <w:szCs w:val="16"/>
                <w:lang w:val="en-US"/>
              </w:rPr>
              <w:t xml:space="preserve">Medium </w:t>
            </w:r>
            <w:proofErr w:type="spellStart"/>
            <w:r>
              <w:rPr>
                <w:rFonts w:ascii="Palatino Linotype" w:hAnsi="Palatino Linotype"/>
                <w:b/>
                <w:bCs/>
                <w:sz w:val="16"/>
                <w:szCs w:val="16"/>
                <w:lang w:val="en-US"/>
              </w:rPr>
              <w:t>ME</w:t>
            </w:r>
            <w:r w:rsidRPr="002E0001">
              <w:rPr>
                <w:rFonts w:ascii="Palatino Linotype" w:hAnsi="Palatino Linotype"/>
                <w:b/>
                <w:bCs/>
                <w:sz w:val="16"/>
                <w:szCs w:val="16"/>
                <w:vertAlign w:val="superscript"/>
                <w:lang w:val="en-US"/>
              </w:rPr>
              <w:t>b</w:t>
            </w:r>
            <w:proofErr w:type="spellEnd"/>
          </w:p>
        </w:tc>
        <w:tc>
          <w:tcPr>
            <w:tcW w:w="1134" w:type="dxa"/>
          </w:tcPr>
          <w:p w14:paraId="305C75FC" w14:textId="77777777" w:rsidR="00C26A33" w:rsidRPr="002E0001" w:rsidRDefault="00C26A33" w:rsidP="00133E64">
            <w:pPr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en-US"/>
              </w:rPr>
            </w:pPr>
            <w:r w:rsidRPr="002E0001">
              <w:rPr>
                <w:rFonts w:ascii="Palatino Linotype" w:hAnsi="Palatino Linotype"/>
                <w:b/>
                <w:bCs/>
                <w:sz w:val="16"/>
                <w:szCs w:val="16"/>
                <w:lang w:val="en-US"/>
              </w:rPr>
              <w:t xml:space="preserve">Strong </w:t>
            </w:r>
            <w:proofErr w:type="spellStart"/>
            <w:r>
              <w:rPr>
                <w:rFonts w:ascii="Palatino Linotype" w:hAnsi="Palatino Linotype"/>
                <w:b/>
                <w:bCs/>
                <w:sz w:val="16"/>
                <w:szCs w:val="16"/>
                <w:lang w:val="en-US"/>
              </w:rPr>
              <w:t>ME</w:t>
            </w:r>
            <w:r w:rsidRPr="002E0001">
              <w:rPr>
                <w:rFonts w:ascii="Palatino Linotype" w:hAnsi="Palatino Linotype"/>
                <w:b/>
                <w:bCs/>
                <w:sz w:val="16"/>
                <w:szCs w:val="16"/>
                <w:vertAlign w:val="superscript"/>
                <w:lang w:val="en-US"/>
              </w:rPr>
              <w:t>c</w:t>
            </w:r>
            <w:proofErr w:type="spellEnd"/>
          </w:p>
        </w:tc>
      </w:tr>
      <w:tr w:rsidR="00C26A33" w:rsidRPr="002E0001" w14:paraId="1A77F9C8" w14:textId="77777777" w:rsidTr="00C26A33">
        <w:trPr>
          <w:jc w:val="center"/>
        </w:trPr>
        <w:tc>
          <w:tcPr>
            <w:tcW w:w="14312" w:type="dxa"/>
            <w:gridSpan w:val="4"/>
            <w:shd w:val="clear" w:color="auto" w:fill="D9D9D9" w:themeFill="background1" w:themeFillShade="D9"/>
          </w:tcPr>
          <w:p w14:paraId="062A291D" w14:textId="77777777" w:rsidR="00C26A33" w:rsidRPr="002E0001" w:rsidRDefault="00C26A33" w:rsidP="00133E64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LC-MS/MS</w:t>
            </w:r>
          </w:p>
        </w:tc>
      </w:tr>
      <w:tr w:rsidR="00C26A33" w:rsidRPr="002E0001" w14:paraId="571D37DB" w14:textId="77777777" w:rsidTr="00C26A33">
        <w:trPr>
          <w:jc w:val="center"/>
        </w:trPr>
        <w:tc>
          <w:tcPr>
            <w:tcW w:w="10910" w:type="dxa"/>
          </w:tcPr>
          <w:p w14:paraId="07B622A2" w14:textId="77777777" w:rsidR="00C26A33" w:rsidRPr="00C227DD" w:rsidRDefault="00C26A33" w:rsidP="00133E6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Methamidophos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formetanate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HCl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aldicarb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sulfoxide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 w:cs="Calibri"/>
                <w:sz w:val="16"/>
                <w:szCs w:val="16"/>
                <w:lang w:val="en-US"/>
              </w:rPr>
              <w:t>butoxycarboxim</w:t>
            </w:r>
            <w:proofErr w:type="spellEnd"/>
            <w:r w:rsidRPr="00C227DD">
              <w:rPr>
                <w:rFonts w:ascii="Palatino Linotype" w:hAnsi="Palatino Linotype" w:cs="Calibri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aldicarb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sulfone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nitenpyram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Oxamyl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Carbendazim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Methomyl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Flonicamid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Thiamethoxam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thiabendazole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Monocrotophos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dicrotophos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clothianidin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fenuron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Dimethoate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dioxacarb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mevinphos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Vamidothion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, 3-</w:t>
            </w: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hydroxycarbofuran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acetamiprid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Mexacarbate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thiacloprid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trichlorfon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tricyclazole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Butocarboxim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ethirimol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aldicarb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oxadixyl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carbetamide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pirimicarb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thidiazuron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thiophanate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methyl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bendiocarb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propoxur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imazalil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carbofuran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Metribuzin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tebuthiuron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carbaryl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carboxin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simetryn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monolinuron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fluometuron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chlorotoluron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Prometon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secbumeton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metobromuron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Methabenzthiazuron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propham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flutriafol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spiroxamine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forchlorfenuron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isoproturon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diuron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Metalaxyl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fenpropimorph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ametryn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cycluron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Methoprotryne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chlorantraniliprole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pyrimethanil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Azoxystrobin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furalaxyl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linuron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diethofencarb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Ethofumesate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methiocarb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fenamidone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ethiprole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Boscalid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paclobutrazol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promecarb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mandipropamid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Prometryn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flutolanil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mepronil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terbutryn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Methoxyfenozide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cyproconazole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myclobutanil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Triadimefon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mefenacet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bromuconazole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Chloroxuron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triadimenol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fluquinconazole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Fenarimol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spirotetramat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fenhexamid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iprovalicarb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Triticonazole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butafenacil</w:t>
            </w:r>
            <w:proofErr w:type="spellEnd"/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etaconazole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bupirimate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Epoxiconazole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tetraconazole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flufenacet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>Fenbuconazole</w:t>
            </w:r>
            <w:r w:rsidRPr="00C227DD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diflubenzuron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Cyprodinil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rotenone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flusilazole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fenoxycarb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neburon</w:t>
            </w:r>
            <w:proofErr w:type="spellEnd"/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tebufenozide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dimoxystrobin</w:t>
            </w:r>
            <w:proofErr w:type="spellEnd"/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picoxystrobin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Diclobutrazol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spinosyn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kresoxim</w:t>
            </w:r>
            <w:proofErr w:type="spellEnd"/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methyl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penconazole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tebuconazole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benalaxyl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Zoxamide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propiconazole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prochloraz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hexaconazole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metconazole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clofentezine</w:t>
            </w:r>
            <w:proofErr w:type="spellEnd"/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spinosyn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</w:p>
          <w:p w14:paraId="715B646F" w14:textId="77777777" w:rsidR="00C26A33" w:rsidRPr="00C227DD" w:rsidRDefault="00C26A33" w:rsidP="00133E6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Hydramethylnon</w:t>
            </w:r>
            <w:proofErr w:type="spellEnd"/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triflumuron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thiobencarb</w:t>
            </w:r>
            <w:proofErr w:type="spellEnd"/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spinetoram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benzoximate</w:t>
            </w:r>
            <w:proofErr w:type="spellEnd"/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pencycuron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difenoconazole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Triflumizole</w:t>
            </w:r>
            <w:proofErr w:type="spellEnd"/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ipconazole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indoxacarb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trifloxystrobin</w:t>
            </w:r>
            <w:proofErr w:type="spellEnd"/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clethodim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isomer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II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emamectin</w:t>
            </w:r>
            <w:proofErr w:type="spellEnd"/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benzoate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b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furathiocarb</w:t>
            </w:r>
            <w:proofErr w:type="spellEnd"/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buprofezin</w:t>
            </w:r>
            <w:proofErr w:type="spellEnd"/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tebufenpyrad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temephos</w:t>
            </w:r>
            <w:proofErr w:type="spellEnd"/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piperonyl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butoxide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quinoxyfen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pyriproxyfen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Metaflumizone</w:t>
            </w:r>
            <w:proofErr w:type="spellEnd"/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hexythiazox</w:t>
            </w:r>
            <w:proofErr w:type="spellEnd"/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etoxazole</w:t>
            </w:r>
            <w:proofErr w:type="spellEnd"/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propargite</w:t>
            </w:r>
            <w:proofErr w:type="spellEnd"/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flufenoxuron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fenpyroximate</w:t>
            </w:r>
            <w:proofErr w:type="spellEnd"/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spirodiclofen</w:t>
            </w:r>
            <w:proofErr w:type="spellEnd"/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chlorfluazuron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fenazaquin</w:t>
            </w:r>
            <w:proofErr w:type="spellEnd"/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pyridaben</w:t>
            </w:r>
            <w:proofErr w:type="spellEnd"/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amitraz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fipronil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fluazinam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imidacloprid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dimethomorph</w:t>
            </w:r>
            <w:r w:rsidRPr="00C227D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</w:p>
          <w:p w14:paraId="5A28F062" w14:textId="77777777" w:rsidR="00C26A33" w:rsidRPr="002E0001" w:rsidRDefault="00C26A33" w:rsidP="00133E64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proofErr w:type="spellStart"/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Pyraclostrobin</w:t>
            </w:r>
            <w:proofErr w:type="spellEnd"/>
            <w:r w:rsidRPr="002E00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fludioxonil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hexaflumuron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2E00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lufenuron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6F9AB564" w14:textId="77777777" w:rsidR="00C26A33" w:rsidRPr="002E0001" w:rsidRDefault="00C26A33" w:rsidP="00C26A33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16</w:t>
            </w:r>
            <w:r w:rsidRPr="002E0001">
              <w:rPr>
                <w:rFonts w:ascii="Palatino Linotype" w:hAnsi="Palatino Linotype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14:paraId="1D2DBCB5" w14:textId="77777777" w:rsidR="00C26A33" w:rsidRPr="002E0001" w:rsidRDefault="00C26A33" w:rsidP="00C26A33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</w:tcPr>
          <w:p w14:paraId="7EAD3D7F" w14:textId="77777777" w:rsidR="00C26A33" w:rsidRPr="002E0001" w:rsidRDefault="00C26A33" w:rsidP="00C26A33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-</w:t>
            </w:r>
          </w:p>
        </w:tc>
      </w:tr>
      <w:tr w:rsidR="00C26A33" w:rsidRPr="002E0001" w14:paraId="3BC2F226" w14:textId="77777777" w:rsidTr="00C26A33">
        <w:trPr>
          <w:jc w:val="center"/>
        </w:trPr>
        <w:tc>
          <w:tcPr>
            <w:tcW w:w="10910" w:type="dxa"/>
          </w:tcPr>
          <w:p w14:paraId="16F4BD2E" w14:textId="77777777" w:rsidR="00C26A33" w:rsidRPr="002E0001" w:rsidRDefault="00C26A33" w:rsidP="00133E64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>Nuarimol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  <w:lang w:val="en-US"/>
              </w:rPr>
              <w:t xml:space="preserve">, </w:t>
            </w:r>
            <w:r w:rsidRPr="002E0001">
              <w:rPr>
                <w:rFonts w:ascii="Palatino Linotype" w:hAnsi="Palatino Linotype" w:cs="Calibri"/>
                <w:color w:val="000000"/>
                <w:sz w:val="16"/>
                <w:szCs w:val="16"/>
              </w:rPr>
              <w:t xml:space="preserve">fluoxastrobin </w:t>
            </w:r>
          </w:p>
        </w:tc>
        <w:tc>
          <w:tcPr>
            <w:tcW w:w="992" w:type="dxa"/>
          </w:tcPr>
          <w:p w14:paraId="460A4169" w14:textId="77777777" w:rsidR="00C26A33" w:rsidRPr="002E0001" w:rsidRDefault="00C26A33" w:rsidP="00C26A33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127C3FB9" w14:textId="77777777" w:rsidR="00C26A33" w:rsidRPr="002E0001" w:rsidRDefault="00C26A33" w:rsidP="00C26A33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2</w:t>
            </w:r>
          </w:p>
        </w:tc>
        <w:tc>
          <w:tcPr>
            <w:tcW w:w="1134" w:type="dxa"/>
          </w:tcPr>
          <w:p w14:paraId="43A5693C" w14:textId="77777777" w:rsidR="00C26A33" w:rsidRPr="002E0001" w:rsidRDefault="00C26A33" w:rsidP="00C26A33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-</w:t>
            </w:r>
          </w:p>
        </w:tc>
      </w:tr>
      <w:tr w:rsidR="00C26A33" w:rsidRPr="002E0001" w14:paraId="6444F501" w14:textId="77777777" w:rsidTr="00C26A33">
        <w:trPr>
          <w:jc w:val="center"/>
        </w:trPr>
        <w:tc>
          <w:tcPr>
            <w:tcW w:w="10910" w:type="dxa"/>
            <w:shd w:val="clear" w:color="auto" w:fill="D9D9D9" w:themeFill="background1" w:themeFillShade="D9"/>
          </w:tcPr>
          <w:p w14:paraId="40D05CFE" w14:textId="77777777" w:rsidR="00C26A33" w:rsidRPr="002E0001" w:rsidRDefault="00C26A33" w:rsidP="00133E64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GC-MS/MS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48C572A" w14:textId="77777777" w:rsidR="00C26A33" w:rsidRPr="002E0001" w:rsidRDefault="00C26A33" w:rsidP="00133E64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66F8A665" w14:textId="77777777" w:rsidR="00C26A33" w:rsidRPr="002E0001" w:rsidRDefault="00C26A33" w:rsidP="00133E64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6C145D1C" w14:textId="77777777" w:rsidR="00C26A33" w:rsidRPr="002E0001" w:rsidRDefault="00C26A33" w:rsidP="00133E64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26A33" w:rsidRPr="002E0001" w14:paraId="1860A493" w14:textId="77777777" w:rsidTr="00C26A33">
        <w:trPr>
          <w:jc w:val="center"/>
        </w:trPr>
        <w:tc>
          <w:tcPr>
            <w:tcW w:w="10910" w:type="dxa"/>
          </w:tcPr>
          <w:p w14:paraId="44780EB0" w14:textId="77777777" w:rsidR="00C26A33" w:rsidRPr="002E0001" w:rsidRDefault="00C26A33" w:rsidP="00133E64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Di-allate-1, Diazinon, Fenoxycarb, Hexachlorobenzene,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Pentachloroanisole</w:t>
            </w:r>
            <w:proofErr w:type="spellEnd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Propachlor</w:t>
            </w:r>
            <w:proofErr w:type="spellEnd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, Trifluralin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4CD86249" w14:textId="77777777" w:rsidR="00C26A33" w:rsidRPr="002E0001" w:rsidRDefault="00C26A33" w:rsidP="00C26A33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7</w:t>
            </w:r>
          </w:p>
        </w:tc>
        <w:tc>
          <w:tcPr>
            <w:tcW w:w="1276" w:type="dxa"/>
          </w:tcPr>
          <w:p w14:paraId="243F5706" w14:textId="77777777" w:rsidR="00C26A33" w:rsidRPr="002E0001" w:rsidRDefault="00C26A33" w:rsidP="00C26A33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</w:tcPr>
          <w:p w14:paraId="2CFA461D" w14:textId="77777777" w:rsidR="00C26A33" w:rsidRPr="002E0001" w:rsidRDefault="00C26A33" w:rsidP="00C26A33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-</w:t>
            </w:r>
          </w:p>
        </w:tc>
      </w:tr>
      <w:tr w:rsidR="00C26A33" w:rsidRPr="002E0001" w14:paraId="1C3590A5" w14:textId="77777777" w:rsidTr="00C26A33">
        <w:trPr>
          <w:jc w:val="center"/>
        </w:trPr>
        <w:tc>
          <w:tcPr>
            <w:tcW w:w="10910" w:type="dxa"/>
          </w:tcPr>
          <w:p w14:paraId="4E964D4E" w14:textId="77777777" w:rsidR="00C26A33" w:rsidRPr="00C227DD" w:rsidRDefault="00C26A33" w:rsidP="00133E64">
            <w:pPr>
              <w:rPr>
                <w:rFonts w:ascii="Palatino Linotype" w:hAnsi="Palatino Linotype"/>
                <w:sz w:val="16"/>
                <w:szCs w:val="16"/>
              </w:rPr>
            </w:pPr>
            <w:r w:rsidRPr="00C227DD">
              <w:rPr>
                <w:rFonts w:ascii="Palatino Linotype" w:hAnsi="Palatino Linotype"/>
                <w:sz w:val="16"/>
                <w:szCs w:val="16"/>
              </w:rPr>
              <w:t>2,4'-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Methoxychlor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>, 4,4'-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Dichlorobenzophenone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>, 4,4'-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methoxychlor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olefin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Acrinathrin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-1,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alpha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>-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Endosulfan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Ametryn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Azinphos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>-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ethyl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Azinphos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>-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methyl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Azoxystrobin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Benfluralin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beta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>-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Endosulfan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Bifenthrin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Boscalid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Bromfenvinfos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>-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methyl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Bromfenvinphos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Bromophos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>-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ethyl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Bromopropylate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Bupirimate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Carbophenothion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Carboxin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Carfentrazone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>-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ethyl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Chlorbenside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Chlorfenapyr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Chlorfenson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Chlorfenvinphos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Chlorobenzilate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hlorpyrifos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Chlorthal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>-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dimethyl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Chlorthiophos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-3,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Chlozolinate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cis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>-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Chlordane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cis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>-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Nonachlor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cis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>-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Permethrine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Cycloate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Cyfluthrin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-1,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Cypermethrin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-1,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Cyprodinil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delta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>-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BHC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Deltamethrin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>-1 (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Tralomethrin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deg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.-1),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Dieldrin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Difenoconazole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-1,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Diflufenican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Dimethomorph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-1,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Diphenamid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Edifenphos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Endosulfan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sulfate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Endrin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Endrin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ketone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EPN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Epoxiconazole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Ethion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Etofenprox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Famoxadone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Fenamiphos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Fenarimol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Fenoxaprop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>-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ethyl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Fenoxaprop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>-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>-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ethyl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),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Fenpropathrin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Fenson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Fenvalerate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-1,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Fipronil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Fluazifop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>-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>-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butyl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Fluchloralin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Flucythrinate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-1,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Fludioxonil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Flufenacet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Fluquinconazole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Fluridone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Flusilazole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Flutolanil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Flutriafol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gamma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>-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BHC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 (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Lindane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),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Hexazinone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Indoxacarb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Iodofenphos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Isodrin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Isopropalin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Kresoxim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>-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methyl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lambda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>-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Cyhalothrin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Leptophos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Mefenpyr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>-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diethyl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Metalaxyl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 (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Mefenoxam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),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Metazachlor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Methoxychlor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Metribuzin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MGK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 264-1,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Mirex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Myclobutanil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Napropamide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Nitralin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Nitrofen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Norflurazon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o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>,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>'-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DDD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o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>,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>'-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DDE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o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>,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>'-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DDT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Oxadiazon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Oxyfluorfen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>,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>'-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DDD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>,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>'-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DDE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>,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>'-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DDT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Paclobutrazol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Parathion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>-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methyl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Pentachloroanisole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Pentachlorobenzene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perthane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Phenothrin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-2,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Phorate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Phosalone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Phosmet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Piperonyl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butoxide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Pirimiphos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ethyl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Pretilachlor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Procymidone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Prodiamine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Profenofos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Prometryn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Propargite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-1,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Propisochlor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Prothiofos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Pyrazophos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Pyridaben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Pyridaphenthion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Pyriproxyfen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Quinalphos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Quizalofop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>-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ethyl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>, (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Quizalofop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>-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>-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ethyl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),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Resmethrin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>-2 (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Bioresmethrin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),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Sulfotep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Sulprofos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tau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>-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Fluvalinate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-1,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Tebuconazole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Tebufenpyrad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Tefluthrin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Terbufos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Terbuthylazine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Tetrachlorvinphos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Tetradifon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Tetramethrin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-2,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trans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>-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Chlordane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trans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>-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Nonachlor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Triadimenol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-1,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Triazophos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Trifloxystrobin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Vinclozolin</w:t>
            </w:r>
          </w:p>
        </w:tc>
        <w:tc>
          <w:tcPr>
            <w:tcW w:w="992" w:type="dxa"/>
          </w:tcPr>
          <w:p w14:paraId="7720821F" w14:textId="77777777" w:rsidR="00C26A33" w:rsidRPr="00C227DD" w:rsidRDefault="00C26A33" w:rsidP="00C26A33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352CE8D5" w14:textId="77777777" w:rsidR="00C26A33" w:rsidRPr="002E0001" w:rsidRDefault="00C26A33" w:rsidP="00C26A33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142</w:t>
            </w:r>
          </w:p>
        </w:tc>
        <w:tc>
          <w:tcPr>
            <w:tcW w:w="1134" w:type="dxa"/>
          </w:tcPr>
          <w:p w14:paraId="16ECF9BD" w14:textId="77777777" w:rsidR="00C26A33" w:rsidRPr="002E0001" w:rsidRDefault="00C26A33" w:rsidP="00C26A33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C26A33" w:rsidRPr="002E0001" w14:paraId="00BBAAB6" w14:textId="77777777" w:rsidTr="00C26A33">
        <w:trPr>
          <w:jc w:val="center"/>
        </w:trPr>
        <w:tc>
          <w:tcPr>
            <w:tcW w:w="10910" w:type="dxa"/>
          </w:tcPr>
          <w:p w14:paraId="4DFABA45" w14:textId="77777777" w:rsidR="00C26A33" w:rsidRPr="00C227DD" w:rsidRDefault="00C26A33" w:rsidP="00133E64">
            <w:pPr>
              <w:rPr>
                <w:rFonts w:ascii="Palatino Linotype" w:hAnsi="Palatino Linotype"/>
                <w:sz w:val="16"/>
                <w:szCs w:val="16"/>
              </w:rPr>
            </w:pP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lastRenderedPageBreak/>
              <w:t>Acetochlor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alpha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>-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BHC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beta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>-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BHC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Bromophos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methyl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Clomazone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Coumaphos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Ethoprophos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Fenchlorphos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Fenthion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Fonofos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Isazofos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Lenacil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Malathion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Metolachlor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 (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S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>-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Metolachlor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),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Penconazole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Pentachlorothioanisole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Pirimiphos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>-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methyl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Prochloraz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Propyzamide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Pyraclofos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Tolclofos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>-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methyl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trans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>-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Permethrine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Tri</w:t>
            </w:r>
            <w:r w:rsidRPr="00C227DD">
              <w:rPr>
                <w:rFonts w:ascii="Palatino Linotype" w:hAnsi="Palatino Linotype"/>
                <w:sz w:val="16"/>
                <w:szCs w:val="16"/>
              </w:rPr>
              <w:t>-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allate</w:t>
            </w:r>
            <w:proofErr w:type="spellEnd"/>
            <w:r w:rsidRPr="00C227DD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proofErr w:type="spellStart"/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Triflumizole</w:t>
            </w:r>
            <w:proofErr w:type="spellEnd"/>
          </w:p>
        </w:tc>
        <w:tc>
          <w:tcPr>
            <w:tcW w:w="992" w:type="dxa"/>
          </w:tcPr>
          <w:p w14:paraId="26C8C8FA" w14:textId="77777777" w:rsidR="00C26A33" w:rsidRPr="00C227DD" w:rsidRDefault="00C26A33" w:rsidP="00C26A33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FD2E579" w14:textId="77777777" w:rsidR="00C26A33" w:rsidRPr="00C227DD" w:rsidRDefault="00C26A33" w:rsidP="00C26A33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58BA5E2C" w14:textId="77777777" w:rsidR="00C26A33" w:rsidRPr="002E0001" w:rsidRDefault="00C26A33" w:rsidP="00C26A33">
            <w:pPr>
              <w:jc w:val="center"/>
              <w:rPr>
                <w:rFonts w:ascii="Palatino Linotype" w:hAnsi="Palatino Linotype"/>
                <w:sz w:val="16"/>
                <w:szCs w:val="16"/>
                <w:lang w:val="en-US"/>
              </w:rPr>
            </w:pPr>
            <w:r w:rsidRPr="002E0001">
              <w:rPr>
                <w:rFonts w:ascii="Palatino Linotype" w:hAnsi="Palatino Linotype"/>
                <w:sz w:val="16"/>
                <w:szCs w:val="16"/>
                <w:lang w:val="en-US"/>
              </w:rPr>
              <w:t>24</w:t>
            </w:r>
          </w:p>
        </w:tc>
      </w:tr>
    </w:tbl>
    <w:p w14:paraId="2559E9FA" w14:textId="77777777" w:rsidR="00C26A33" w:rsidRPr="00C26A33" w:rsidRDefault="00C26A33" w:rsidP="00C26A33">
      <w:pPr>
        <w:spacing w:line="240" w:lineRule="exact"/>
        <w:rPr>
          <w:rFonts w:ascii="Palatino Linotype" w:hAnsi="Palatino Linotype"/>
          <w:sz w:val="20"/>
          <w:szCs w:val="20"/>
          <w:lang w:val="en-US"/>
        </w:rPr>
      </w:pPr>
    </w:p>
    <w:sectPr w:rsidR="00C26A33" w:rsidRPr="00C26A33" w:rsidSect="006814D7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harisSIL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83A"/>
    <w:rsid w:val="00057157"/>
    <w:rsid w:val="000F603B"/>
    <w:rsid w:val="0010083A"/>
    <w:rsid w:val="00171999"/>
    <w:rsid w:val="00217BE1"/>
    <w:rsid w:val="002E0001"/>
    <w:rsid w:val="00326B10"/>
    <w:rsid w:val="004249D7"/>
    <w:rsid w:val="005C7873"/>
    <w:rsid w:val="006814D7"/>
    <w:rsid w:val="007379C0"/>
    <w:rsid w:val="00786650"/>
    <w:rsid w:val="009A0BB6"/>
    <w:rsid w:val="009A17E2"/>
    <w:rsid w:val="00A0438C"/>
    <w:rsid w:val="00B00A1C"/>
    <w:rsid w:val="00B87C5E"/>
    <w:rsid w:val="00C227DD"/>
    <w:rsid w:val="00C26A33"/>
    <w:rsid w:val="00DE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13680"/>
  <w15:chartTrackingRefBased/>
  <w15:docId w15:val="{30840D41-1B16-4897-BA89-EF808B9FD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0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26B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DC53DD094138A4FA7F79E66DA54AA02" ma:contentTypeVersion="2" ma:contentTypeDescription="Δημιουργία νέου εγγράφου" ma:contentTypeScope="" ma:versionID="f944dd9c3c34a806381fa6a965a81f56">
  <xsd:schema xmlns:xsd="http://www.w3.org/2001/XMLSchema" xmlns:xs="http://www.w3.org/2001/XMLSchema" xmlns:p="http://schemas.microsoft.com/office/2006/metadata/properties" xmlns:ns2="e6ff062f-c1e0-40c7-a8c5-19b46ebaa95d" targetNamespace="http://schemas.microsoft.com/office/2006/metadata/properties" ma:root="true" ma:fieldsID="21b76712200696edc2c6f8405253f3dc" ns2:_="">
    <xsd:import namespace="e6ff062f-c1e0-40c7-a8c5-19b46ebaa9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f062f-c1e0-40c7-a8c5-19b46ebaa9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21DC39-0D2C-40F5-BF08-743BC38AF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ff062f-c1e0-40c7-a8c5-19b46ebaa9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C1A695-78C3-4E4A-8E6F-2A3EF08A01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CBDF7C-8F09-4938-8DC7-8DF71CAFC2C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Eleftheria Bempelou</dc:creator>
  <cp:keywords/>
  <dc:description/>
  <cp:lastModifiedBy>MDPI</cp:lastModifiedBy>
  <cp:revision>3</cp:revision>
  <dcterms:created xsi:type="dcterms:W3CDTF">2023-05-19T12:13:00Z</dcterms:created>
  <dcterms:modified xsi:type="dcterms:W3CDTF">2023-05-21T09:37:00Z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0x010100ADC53DD094138A4FA7F79E66DA54AA02</vt:lpwstr>
  </property>
</Properties>
</file>