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14958" w14:textId="77777777" w:rsidR="00296604" w:rsidRPr="00F66930" w:rsidRDefault="00296604" w:rsidP="001A341E">
      <w:pPr>
        <w:widowControl/>
        <w:spacing w:afterLines="150" w:after="468" w:line="480" w:lineRule="auto"/>
        <w:rPr>
          <w:rFonts w:ascii="Times New Roman" w:eastAsia="宋体" w:hAnsi="Times New Roman" w:cs="Times New Roman"/>
          <w:color w:val="000000"/>
          <w:sz w:val="44"/>
          <w:szCs w:val="44"/>
        </w:rPr>
      </w:pPr>
      <w:bookmarkStart w:id="0" w:name="_Hlk138802781"/>
      <w:r w:rsidRPr="00F66930">
        <w:rPr>
          <w:rFonts w:ascii="Times New Roman" w:eastAsia="宋体" w:hAnsi="Times New Roman" w:cs="Times New Roman"/>
          <w:color w:val="000000"/>
          <w:sz w:val="44"/>
          <w:szCs w:val="44"/>
        </w:rPr>
        <w:t>Supplementary material</w:t>
      </w:r>
      <w:r w:rsidRPr="00F66930">
        <w:rPr>
          <w:rFonts w:ascii="Times New Roman" w:eastAsia="宋体" w:hAnsi="Times New Roman" w:cs="Times New Roman" w:hint="eastAsia"/>
          <w:color w:val="000000"/>
          <w:sz w:val="44"/>
          <w:szCs w:val="44"/>
        </w:rPr>
        <w:t>s</w:t>
      </w:r>
    </w:p>
    <w:bookmarkEnd w:id="0"/>
    <w:p w14:paraId="7A6779C0" w14:textId="77777777" w:rsidR="00296604" w:rsidRPr="00F66930" w:rsidRDefault="00296604" w:rsidP="001A341E">
      <w:pPr>
        <w:widowControl/>
        <w:spacing w:line="48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F6693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Efficient and s</w:t>
      </w:r>
      <w:r w:rsidRPr="00F66930">
        <w:rPr>
          <w:rFonts w:ascii="Times New Roman" w:hAnsi="Times New Roman" w:cs="Times New Roman" w:hint="eastAsia"/>
          <w:b/>
          <w:color w:val="000000" w:themeColor="text1"/>
          <w:sz w:val="32"/>
          <w:szCs w:val="32"/>
        </w:rPr>
        <w:t>e</w:t>
      </w:r>
      <w:r w:rsidRPr="00F6693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lective adsorption of cationic dye by kiwi peel based biosorbents</w:t>
      </w:r>
    </w:p>
    <w:p w14:paraId="6EB6B136" w14:textId="77777777" w:rsidR="00296604" w:rsidRPr="00227F0F" w:rsidRDefault="00296604" w:rsidP="00050531">
      <w:pPr>
        <w:widowControl/>
        <w:spacing w:line="48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proofErr w:type="spellStart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Yanjun</w:t>
      </w:r>
      <w:proofErr w:type="spellEnd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Z</w:t>
      </w:r>
      <w:r w:rsidRPr="00227F0F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hao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</w:t>
      </w:r>
      <w:r w:rsidRPr="00227F0F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,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Xintong</w:t>
      </w:r>
      <w:proofErr w:type="spellEnd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Liu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EA326E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b</w:t>
      </w:r>
      <w:r w:rsidRPr="00227F0F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,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Wenhui</w:t>
      </w:r>
      <w:proofErr w:type="spellEnd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Li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EA326E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Suyun</w:t>
      </w:r>
      <w:proofErr w:type="spellEnd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Pei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EA326E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Yifan</w:t>
      </w:r>
      <w:proofErr w:type="spellEnd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Ren </w:t>
      </w:r>
      <w:r w:rsidRPr="00EE68EE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Chen Qu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EA326E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Chuandong</w:t>
      </w:r>
      <w:proofErr w:type="spellEnd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Wu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B921FD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a, *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Jiemin</w:t>
      </w:r>
      <w:proofErr w:type="spellEnd"/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Liu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EA326E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a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, c, *</w:t>
      </w:r>
    </w:p>
    <w:p w14:paraId="71B94532" w14:textId="77777777" w:rsidR="00296604" w:rsidRPr="00227F0F" w:rsidRDefault="00296604" w:rsidP="00050531">
      <w:pPr>
        <w:widowControl/>
        <w:spacing w:line="48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</w:p>
    <w:p w14:paraId="6BA0949C" w14:textId="77777777" w:rsidR="00296604" w:rsidRPr="00227F0F" w:rsidRDefault="00296604" w:rsidP="00050531">
      <w:pPr>
        <w:widowControl/>
        <w:spacing w:line="480" w:lineRule="auto"/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</w:pPr>
      <w:r w:rsidRPr="00227F0F">
        <w:rPr>
          <w:rFonts w:ascii="Times New Roman" w:eastAsia="宋体" w:hAnsi="Times New Roman" w:cs="Times New Roman" w:hint="eastAsia"/>
          <w:i/>
          <w:color w:val="000000" w:themeColor="text1"/>
          <w:sz w:val="24"/>
          <w:szCs w:val="24"/>
          <w:vertAlign w:val="superscript"/>
        </w:rPr>
        <w:t>a</w:t>
      </w:r>
      <w:r w:rsidRPr="003B63FA">
        <w:rPr>
          <w:rFonts w:ascii="Times New Roman" w:eastAsia="宋体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School of Chemistry and Biological Engineering, University of Science and Technology Beijing, </w:t>
      </w:r>
      <w:r w:rsidRPr="00227F0F">
        <w:rPr>
          <w:rFonts w:ascii="Times New Roman" w:eastAsia="宋体" w:hAnsi="Times New Roman" w:cs="Times New Roman" w:hint="eastAsia"/>
          <w:i/>
          <w:color w:val="000000" w:themeColor="text1"/>
          <w:sz w:val="24"/>
          <w:szCs w:val="24"/>
        </w:rPr>
        <w:t xml:space="preserve">No. </w:t>
      </w:r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30 </w:t>
      </w:r>
      <w:proofErr w:type="spellStart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Xueyuan</w:t>
      </w:r>
      <w:proofErr w:type="spellEnd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Road, </w:t>
      </w:r>
      <w:proofErr w:type="spellStart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Haidian</w:t>
      </w:r>
      <w:proofErr w:type="spellEnd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District</w:t>
      </w:r>
      <w:r w:rsidRPr="00227F0F">
        <w:rPr>
          <w:rFonts w:ascii="Times New Roman" w:eastAsia="宋体" w:hAnsi="Times New Roman" w:cs="Times New Roman" w:hint="eastAsia"/>
          <w:i/>
          <w:color w:val="000000" w:themeColor="text1"/>
          <w:sz w:val="24"/>
          <w:szCs w:val="24"/>
        </w:rPr>
        <w:t>,</w:t>
      </w:r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Beijing 100083, China</w:t>
      </w:r>
    </w:p>
    <w:p w14:paraId="0A7211D9" w14:textId="77777777" w:rsidR="00296604" w:rsidRDefault="00296604" w:rsidP="00050531">
      <w:pPr>
        <w:widowControl/>
        <w:spacing w:line="480" w:lineRule="auto"/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i/>
          <w:color w:val="000000" w:themeColor="text1"/>
          <w:sz w:val="24"/>
          <w:szCs w:val="24"/>
          <w:vertAlign w:val="superscript"/>
        </w:rPr>
        <w:t>b</w:t>
      </w:r>
      <w:r w:rsidRPr="00227F0F">
        <w:rPr>
          <w:rFonts w:ascii="Times New Roman" w:eastAsia="宋体" w:hAnsi="Times New Roman" w:cs="Times New Roman"/>
          <w:iCs/>
          <w:color w:val="000000" w:themeColor="text1"/>
          <w:sz w:val="24"/>
          <w:szCs w:val="24"/>
        </w:rPr>
        <w:t xml:space="preserve"> </w:t>
      </w:r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School of Light Industry, Beijing Technology and Business University, </w:t>
      </w:r>
      <w:r w:rsidRPr="00227F0F">
        <w:rPr>
          <w:rFonts w:ascii="Times New Roman" w:eastAsia="宋体" w:hAnsi="Times New Roman" w:cs="Times New Roman" w:hint="eastAsia"/>
          <w:i/>
          <w:color w:val="000000" w:themeColor="text1"/>
          <w:sz w:val="24"/>
          <w:szCs w:val="24"/>
        </w:rPr>
        <w:t xml:space="preserve">No. </w:t>
      </w:r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33 </w:t>
      </w:r>
      <w:proofErr w:type="spellStart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Fucheng</w:t>
      </w:r>
      <w:proofErr w:type="spellEnd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road, </w:t>
      </w:r>
      <w:proofErr w:type="spellStart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Haidian</w:t>
      </w:r>
      <w:proofErr w:type="spellEnd"/>
      <w:r w:rsidRPr="00227F0F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District, Beijing 100048, China</w:t>
      </w:r>
    </w:p>
    <w:p w14:paraId="552357F8" w14:textId="77777777" w:rsidR="00296604" w:rsidRPr="00227F0F" w:rsidRDefault="00296604" w:rsidP="00050531">
      <w:pPr>
        <w:widowControl/>
        <w:spacing w:line="480" w:lineRule="auto"/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</w:pPr>
      <w:r w:rsidRPr="00EE68EE">
        <w:rPr>
          <w:rFonts w:ascii="Times New Roman" w:eastAsia="宋体" w:hAnsi="Times New Roman" w:cs="Times New Roman" w:hint="eastAsia"/>
          <w:i/>
          <w:color w:val="000000" w:themeColor="text1"/>
          <w:sz w:val="24"/>
          <w:szCs w:val="24"/>
          <w:vertAlign w:val="superscript"/>
        </w:rPr>
        <w:t>c</w:t>
      </w:r>
      <w:r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</w:t>
      </w:r>
      <w:bookmarkStart w:id="1" w:name="OLE_LINK12"/>
      <w:r w:rsidRPr="00EE68EE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Beijing Institute of Graphic Communication</w:t>
      </w:r>
      <w:bookmarkEnd w:id="1"/>
      <w:r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, No. 1 Xinghua Street (Section 2), </w:t>
      </w:r>
      <w:proofErr w:type="spellStart"/>
      <w:r w:rsidRPr="00EE68EE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>Daxing</w:t>
      </w:r>
      <w:proofErr w:type="spellEnd"/>
      <w:r w:rsidRPr="00EE68EE">
        <w:rPr>
          <w:rFonts w:ascii="Times New Roman" w:eastAsia="宋体" w:hAnsi="Times New Roman" w:cs="Times New Roman"/>
          <w:i/>
          <w:color w:val="000000" w:themeColor="text1"/>
          <w:sz w:val="24"/>
          <w:szCs w:val="24"/>
        </w:rPr>
        <w:t xml:space="preserve"> District, Beijing 102600, China</w:t>
      </w:r>
    </w:p>
    <w:p w14:paraId="47F2B064" w14:textId="77777777" w:rsidR="00296604" w:rsidRDefault="00296604" w:rsidP="00050531">
      <w:pPr>
        <w:widowControl/>
        <w:spacing w:line="480" w:lineRule="auto"/>
        <w:rPr>
          <w:rFonts w:ascii="Times" w:eastAsia="宋体" w:hAnsi="Times" w:cs="Times New Roman"/>
          <w:b/>
          <w:color w:val="000000" w:themeColor="text1"/>
          <w:kern w:val="0"/>
          <w:sz w:val="24"/>
          <w:szCs w:val="24"/>
        </w:rPr>
      </w:pPr>
    </w:p>
    <w:p w14:paraId="4465CA5D" w14:textId="77777777" w:rsidR="00296604" w:rsidRDefault="00296604" w:rsidP="00050531">
      <w:pPr>
        <w:widowControl/>
        <w:spacing w:line="480" w:lineRule="auto"/>
        <w:rPr>
          <w:rFonts w:ascii="Times" w:eastAsia="宋体" w:hAnsi="Times" w:cs="Times New Roman"/>
          <w:b/>
          <w:color w:val="000000" w:themeColor="text1"/>
          <w:kern w:val="0"/>
          <w:sz w:val="24"/>
          <w:szCs w:val="24"/>
        </w:rPr>
      </w:pPr>
    </w:p>
    <w:p w14:paraId="10112A0E" w14:textId="77777777" w:rsidR="00296604" w:rsidRPr="00227F0F" w:rsidRDefault="00296604" w:rsidP="00050531">
      <w:pPr>
        <w:widowControl/>
        <w:spacing w:line="480" w:lineRule="auto"/>
        <w:rPr>
          <w:rFonts w:ascii="Times" w:eastAsia="宋体" w:hAnsi="Times" w:cs="Times New Roman"/>
          <w:b/>
          <w:color w:val="000000" w:themeColor="text1"/>
          <w:kern w:val="0"/>
          <w:sz w:val="24"/>
          <w:szCs w:val="24"/>
        </w:rPr>
      </w:pPr>
    </w:p>
    <w:p w14:paraId="7D870D82" w14:textId="77777777" w:rsidR="00296604" w:rsidRDefault="00296604" w:rsidP="00050531">
      <w:pPr>
        <w:widowControl/>
        <w:spacing w:line="480" w:lineRule="auto"/>
        <w:rPr>
          <w:rFonts w:ascii="Times New Roman" w:eastAsia="宋体" w:hAnsi="Times New Roman" w:cs="Times New Roman"/>
          <w:color w:val="000000" w:themeColor="text1"/>
          <w:sz w:val="24"/>
          <w:szCs w:val="24"/>
        </w:rPr>
      </w:pPr>
      <w:r w:rsidRPr="00254F31">
        <w:rPr>
          <w:rFonts w:ascii="Times New Roman" w:eastAsia="宋体" w:hAnsi="Times New Roman" w:cs="Times New Roman"/>
          <w:color w:val="000000" w:themeColor="text1"/>
          <w:sz w:val="24"/>
          <w:szCs w:val="24"/>
          <w:vertAlign w:val="superscript"/>
        </w:rPr>
        <w:t>*</w:t>
      </w:r>
      <w:bookmarkStart w:id="2" w:name="OLE_LINK13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Corresponding Author</w:t>
      </w:r>
      <w:bookmarkEnd w:id="2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: </w:t>
      </w:r>
    </w:p>
    <w:p w14:paraId="411E3DCC" w14:textId="77777777" w:rsidR="00296604" w:rsidRPr="00254F31" w:rsidRDefault="00296604" w:rsidP="00050531">
      <w:pPr>
        <w:widowControl/>
        <w:spacing w:line="480" w:lineRule="auto"/>
        <w:ind w:firstLineChars="100" w:firstLine="240"/>
        <w:rPr>
          <w:rFonts w:ascii="Times New Roman" w:eastAsia="宋体" w:hAnsi="Times New Roman" w:cs="Times New Roman"/>
          <w:iCs/>
          <w:color w:val="000000" w:themeColor="text1"/>
          <w:sz w:val="24"/>
          <w:szCs w:val="24"/>
        </w:rPr>
      </w:pPr>
      <w:r w:rsidRPr="00254F3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wuchuandong@ustb.edu.cn</w:t>
      </w:r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Chuandong</w:t>
      </w:r>
      <w:proofErr w:type="spellEnd"/>
      <w:r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 xml:space="preserve"> Wu); </w:t>
      </w:r>
      <w:r w:rsidRPr="00227F0F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liujm@ustb.edu.cn</w:t>
      </w:r>
      <w:r w:rsidRPr="00227F0F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(</w:t>
      </w:r>
      <w:proofErr w:type="spellStart"/>
      <w:r w:rsidRPr="00227F0F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Jiemin</w:t>
      </w:r>
      <w:proofErr w:type="spellEnd"/>
      <w:r w:rsidRPr="00227F0F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Liu). </w:t>
      </w:r>
    </w:p>
    <w:p w14:paraId="40358178" w14:textId="77777777" w:rsidR="00296604" w:rsidRDefault="00296604" w:rsidP="001A341E">
      <w:pPr>
        <w:widowControl/>
        <w:spacing w:line="480" w:lineRule="auto"/>
        <w:jc w:val="left"/>
      </w:pPr>
      <w:r>
        <w:br w:type="page"/>
      </w:r>
    </w:p>
    <w:p w14:paraId="5FB4A193" w14:textId="77777777" w:rsidR="00296604" w:rsidRPr="001A341E" w:rsidRDefault="00296604" w:rsidP="001A341E">
      <w:pPr>
        <w:widowControl/>
        <w:spacing w:line="480" w:lineRule="auto"/>
        <w:rPr>
          <w:rFonts w:ascii="Times New Roman" w:eastAsia="等线" w:hAnsi="Times New Roman" w:cs="Times New Roman"/>
          <w:color w:val="000000"/>
          <w:sz w:val="24"/>
          <w:szCs w:val="24"/>
        </w:rPr>
      </w:pPr>
      <w:bookmarkStart w:id="3" w:name="_Hlk136934883"/>
      <w:bookmarkStart w:id="4" w:name="OLE_LINK4"/>
      <w:bookmarkStart w:id="5" w:name="OLE_LINK5"/>
      <w:r w:rsidRPr="001A341E">
        <w:rPr>
          <w:rFonts w:ascii="Times New Roman" w:eastAsia="等线" w:hAnsi="Times New Roman" w:cs="Times New Roman" w:hint="eastAsia"/>
          <w:b/>
          <w:color w:val="000000"/>
          <w:sz w:val="24"/>
          <w:szCs w:val="24"/>
        </w:rPr>
        <w:lastRenderedPageBreak/>
        <w:t xml:space="preserve">Table </w:t>
      </w:r>
      <w:r w:rsidRPr="001A341E">
        <w:rPr>
          <w:rFonts w:ascii="Times New Roman" w:eastAsia="等线" w:hAnsi="Times New Roman" w:cs="Times New Roman"/>
          <w:b/>
          <w:color w:val="000000"/>
          <w:sz w:val="24"/>
          <w:szCs w:val="24"/>
        </w:rPr>
        <w:t>S1</w:t>
      </w:r>
      <w:r w:rsidRPr="001A341E">
        <w:rPr>
          <w:rFonts w:ascii="Times New Roman" w:eastAsia="等线" w:hAnsi="Times New Roman" w:cs="Times New Roman" w:hint="eastAsia"/>
          <w:b/>
          <w:color w:val="000000"/>
          <w:sz w:val="24"/>
          <w:szCs w:val="24"/>
        </w:rPr>
        <w:t>.</w:t>
      </w:r>
      <w:r w:rsidRPr="001A341E">
        <w:rPr>
          <w:rFonts w:ascii="Times New Roman" w:eastAsia="等线" w:hAnsi="Times New Roman" w:cs="Times New Roman" w:hint="eastAsia"/>
          <w:color w:val="000000"/>
          <w:sz w:val="24"/>
          <w:szCs w:val="24"/>
        </w:rPr>
        <w:t xml:space="preserve"> </w:t>
      </w:r>
      <w:r w:rsidRPr="001A341E">
        <w:rPr>
          <w:rFonts w:ascii="Times New Roman" w:eastAsia="等线" w:hAnsi="Times New Roman" w:cs="Times New Roman"/>
          <w:color w:val="000000"/>
          <w:sz w:val="24"/>
          <w:szCs w:val="24"/>
        </w:rPr>
        <w:t>The percentages of main elements in KP and NA-KP</w:t>
      </w:r>
      <w:r w:rsidRPr="001A341E">
        <w:rPr>
          <w:rFonts w:ascii="Times New Roman" w:eastAsia="等线" w:hAnsi="Times New Roman" w:cs="Times New Roman" w:hint="eastAsia"/>
          <w:color w:val="000000"/>
          <w:sz w:val="24"/>
          <w:szCs w:val="24"/>
        </w:rPr>
        <w:t>.</w:t>
      </w:r>
    </w:p>
    <w:tbl>
      <w:tblPr>
        <w:tblStyle w:val="a7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1661"/>
        <w:gridCol w:w="1661"/>
        <w:gridCol w:w="1661"/>
        <w:gridCol w:w="1661"/>
      </w:tblGrid>
      <w:tr w:rsidR="00296604" w14:paraId="4FE0C255" w14:textId="77777777" w:rsidTr="00395636"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bookmarkEnd w:id="3"/>
          <w:p w14:paraId="2FA75B18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 w:hint="eastAsia"/>
              </w:rPr>
              <w:t>d</w:t>
            </w:r>
            <w:r>
              <w:rPr>
                <w:rFonts w:ascii="Times New Roman" w:hAnsi="Times New Roman" w:cs="Times New Roman"/>
              </w:rPr>
              <w:t>sorbents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E87A1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6876">
              <w:rPr>
                <w:rFonts w:ascii="Times New Roman" w:hAnsi="Times New Roman" w:cs="Times New Roman" w:hint="eastAsia"/>
              </w:rPr>
              <w:t>C</w:t>
            </w:r>
            <w:r w:rsidRPr="00AF6876">
              <w:rPr>
                <w:rFonts w:ascii="Times New Roman" w:hAnsi="Times New Roman" w:cs="Times New Roman"/>
              </w:rPr>
              <w:t>(</w:t>
            </w:r>
            <w:proofErr w:type="gramEnd"/>
            <w:r w:rsidRPr="00AF6876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5F225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6876">
              <w:rPr>
                <w:rFonts w:ascii="Times New Roman" w:hAnsi="Times New Roman" w:cs="Times New Roman" w:hint="eastAsia"/>
              </w:rPr>
              <w:t>H</w:t>
            </w:r>
            <w:r w:rsidRPr="00AF6876">
              <w:rPr>
                <w:rFonts w:ascii="Times New Roman" w:hAnsi="Times New Roman" w:cs="Times New Roman"/>
              </w:rPr>
              <w:t>(</w:t>
            </w:r>
            <w:proofErr w:type="gramEnd"/>
            <w:r w:rsidRPr="00AF6876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75A4C" w14:textId="77777777" w:rsidR="00296604" w:rsidRPr="00AF6876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6876">
              <w:rPr>
                <w:rFonts w:ascii="Times New Roman" w:hAnsi="Times New Roman" w:cs="Times New Roman" w:hint="eastAsia"/>
              </w:rPr>
              <w:t>O</w:t>
            </w:r>
            <w:r w:rsidRPr="00AF6876">
              <w:rPr>
                <w:rFonts w:ascii="Times New Roman" w:hAnsi="Times New Roman" w:cs="Times New Roman"/>
              </w:rPr>
              <w:t>(</w:t>
            </w:r>
            <w:proofErr w:type="gramEnd"/>
            <w:r w:rsidRPr="00AF6876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FDBD0" w14:textId="77777777" w:rsidR="00296604" w:rsidRPr="00AF6876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proofErr w:type="gramStart"/>
            <w:r w:rsidRPr="00AF6876">
              <w:rPr>
                <w:rFonts w:ascii="Times New Roman" w:hAnsi="Times New Roman" w:cs="Times New Roman" w:hint="eastAsia"/>
              </w:rPr>
              <w:t>N</w:t>
            </w:r>
            <w:r w:rsidRPr="00AF6876">
              <w:rPr>
                <w:rFonts w:ascii="Times New Roman" w:hAnsi="Times New Roman" w:cs="Times New Roman"/>
              </w:rPr>
              <w:t>(</w:t>
            </w:r>
            <w:proofErr w:type="gramEnd"/>
            <w:r w:rsidRPr="00AF6876">
              <w:rPr>
                <w:rFonts w:ascii="Times New Roman" w:hAnsi="Times New Roman" w:cs="Times New Roman"/>
              </w:rPr>
              <w:t>%)</w:t>
            </w:r>
          </w:p>
        </w:tc>
      </w:tr>
      <w:tr w:rsidR="00296604" w14:paraId="5E20F577" w14:textId="77777777" w:rsidTr="00395636">
        <w:tc>
          <w:tcPr>
            <w:tcW w:w="1000" w:type="pct"/>
            <w:tcBorders>
              <w:top w:val="single" w:sz="4" w:space="0" w:color="auto"/>
            </w:tcBorders>
          </w:tcPr>
          <w:p w14:paraId="7C8C15CF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K</w:t>
            </w: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252DABB9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6876">
              <w:rPr>
                <w:rFonts w:ascii="Times New Roman" w:hAnsi="Times New Roman" w:cs="Times New Roman"/>
              </w:rPr>
              <w:t>47.83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6421A60E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6876">
              <w:rPr>
                <w:rFonts w:ascii="Times New Roman" w:hAnsi="Times New Roman" w:cs="Times New Roman"/>
              </w:rPr>
              <w:t>6.32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79EC5CB8" w14:textId="77777777" w:rsidR="00296604" w:rsidRPr="00AF6876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B1068">
              <w:rPr>
                <w:rFonts w:ascii="Times New Roman" w:hAnsi="Times New Roman" w:cs="Times New Roman"/>
              </w:rPr>
              <w:t>26.22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14:paraId="7BAE05C9" w14:textId="77777777" w:rsidR="00296604" w:rsidRPr="009B1068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F6876">
              <w:rPr>
                <w:rFonts w:ascii="Times New Roman" w:hAnsi="Times New Roman" w:cs="Times New Roman"/>
              </w:rPr>
              <w:t>1.02</w:t>
            </w:r>
          </w:p>
        </w:tc>
      </w:tr>
      <w:tr w:rsidR="00296604" w14:paraId="49E89B88" w14:textId="77777777" w:rsidTr="00395636">
        <w:tc>
          <w:tcPr>
            <w:tcW w:w="1000" w:type="pct"/>
          </w:tcPr>
          <w:p w14:paraId="3175C367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N</w:t>
            </w:r>
            <w:r>
              <w:rPr>
                <w:rFonts w:ascii="Times New Roman" w:hAnsi="Times New Roman" w:cs="Times New Roman"/>
              </w:rPr>
              <w:t>A-KP</w:t>
            </w:r>
          </w:p>
        </w:tc>
        <w:tc>
          <w:tcPr>
            <w:tcW w:w="1000" w:type="pct"/>
            <w:vAlign w:val="center"/>
          </w:tcPr>
          <w:p w14:paraId="0DD612D9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F2569">
              <w:rPr>
                <w:rFonts w:ascii="Times New Roman" w:hAnsi="Times New Roman" w:cs="Times New Roman"/>
              </w:rPr>
              <w:t>48.21</w:t>
            </w:r>
          </w:p>
        </w:tc>
        <w:tc>
          <w:tcPr>
            <w:tcW w:w="1000" w:type="pct"/>
            <w:vAlign w:val="center"/>
          </w:tcPr>
          <w:p w14:paraId="689DCCCC" w14:textId="77777777" w:rsidR="00296604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F2569">
              <w:rPr>
                <w:rFonts w:ascii="Times New Roman" w:hAnsi="Times New Roman" w:cs="Times New Roman"/>
              </w:rPr>
              <w:t>6.21</w:t>
            </w:r>
          </w:p>
        </w:tc>
        <w:tc>
          <w:tcPr>
            <w:tcW w:w="1000" w:type="pct"/>
            <w:vAlign w:val="center"/>
          </w:tcPr>
          <w:p w14:paraId="08C69045" w14:textId="77777777" w:rsidR="00296604" w:rsidRPr="009F2569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F2569">
              <w:rPr>
                <w:rFonts w:ascii="Times New Roman" w:hAnsi="Times New Roman" w:cs="Times New Roman"/>
              </w:rPr>
              <w:t>26.64</w:t>
            </w:r>
          </w:p>
        </w:tc>
        <w:tc>
          <w:tcPr>
            <w:tcW w:w="1000" w:type="pct"/>
            <w:vAlign w:val="center"/>
          </w:tcPr>
          <w:p w14:paraId="44995898" w14:textId="77777777" w:rsidR="00296604" w:rsidRPr="009F2569" w:rsidRDefault="00296604" w:rsidP="001A341E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9F2569">
              <w:rPr>
                <w:rFonts w:ascii="Times New Roman" w:hAnsi="Times New Roman" w:cs="Times New Roman"/>
              </w:rPr>
              <w:t>2.70</w:t>
            </w:r>
          </w:p>
        </w:tc>
      </w:tr>
    </w:tbl>
    <w:p w14:paraId="7BA381DA" w14:textId="77777777" w:rsidR="00296604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</w:p>
    <w:p w14:paraId="4AB9730B" w14:textId="77777777" w:rsidR="00296604" w:rsidRDefault="00296604" w:rsidP="001A341E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br w:type="page"/>
      </w:r>
    </w:p>
    <w:p w14:paraId="477F47BC" w14:textId="77777777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bookmarkStart w:id="6" w:name="_Hlk136934901"/>
      <w:r w:rsidRPr="001A341E">
        <w:rPr>
          <w:rFonts w:ascii="Times New Roman" w:eastAsia="宋体" w:hAnsi="Times New Roman" w:cs="Times New Roman"/>
          <w:b/>
          <w:color w:val="000000"/>
          <w:sz w:val="24"/>
          <w:szCs w:val="24"/>
        </w:rPr>
        <w:lastRenderedPageBreak/>
        <w:t xml:space="preserve">Text S1. </w:t>
      </w:r>
      <w:r w:rsidRPr="001A341E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Details </w:t>
      </w:r>
      <w:r w:rsidRPr="00F6693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of</w:t>
      </w:r>
      <w:r w:rsidRPr="00F6693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kinetic </w:t>
      </w:r>
      <w:r w:rsidRPr="00F6693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model</w:t>
      </w:r>
      <w:r w:rsidRPr="00F6693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>s</w:t>
      </w:r>
    </w:p>
    <w:bookmarkEnd w:id="6"/>
    <w:p w14:paraId="78EFCFDC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The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pseudo-first-order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model can be expressed as the following equation:</w:t>
      </w:r>
    </w:p>
    <w:p w14:paraId="23061F96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</m:t>
              </m:r>
            </m:sub>
          </m:sSub>
          <m:d>
            <m:d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1-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exp⁡</m:t>
              </m:r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(-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t)</m:t>
              </m:r>
            </m:e>
          </m:d>
        </m:oMath>
      </m:oMathPara>
    </w:p>
    <w:p w14:paraId="3CF6904A" w14:textId="6ADC4DB0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proofErr w:type="spellStart"/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q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e</w:t>
      </w:r>
      <w:proofErr w:type="spellEnd"/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(mg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) and 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q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t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(mg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) are the adsorption capacities at equilibrium and at time t, respectively;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k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(h</w:t>
      </w:r>
      <w:r w:rsid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)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is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the rate constants of pseudo-first-order model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.</w:t>
      </w:r>
    </w:p>
    <w:p w14:paraId="5A0A35B5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Meanwhile, the pseudo-second-order model can be expressed as the following equation:</w:t>
      </w:r>
    </w:p>
    <w:p w14:paraId="54BB3DE4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/>
                          <w:color w:val="000000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color w:val="000000"/>
                          <w:sz w:val="24"/>
                          <w:szCs w:val="24"/>
                        </w:rPr>
                        <m:t>e</m:t>
                      </m:r>
                    </m:sub>
                  </m:sSub>
                </m:e>
                <m:sup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</m:t>
              </m:r>
            </m:num>
            <m:den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e</m:t>
                  </m:r>
                </m:sub>
              </m:s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</m:t>
              </m:r>
            </m:den>
          </m:f>
        </m:oMath>
      </m:oMathPara>
    </w:p>
    <w:p w14:paraId="2E422534" w14:textId="2DA0F475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proofErr w:type="spellStart"/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q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e</w:t>
      </w:r>
      <w:proofErr w:type="spellEnd"/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(mg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) and 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q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t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(mg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)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represents the same meanings of the pseudo-second-order model, and 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k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2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(g mg</w:t>
      </w:r>
      <w:r w:rsid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min</w:t>
      </w:r>
      <w:r w:rsid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) is the rate constants of pseudo-second-order model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.</w:t>
      </w:r>
    </w:p>
    <w:p w14:paraId="3A99F968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The </w:t>
      </w:r>
      <w:proofErr w:type="spellStart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Elovich</w:t>
      </w:r>
      <w:proofErr w:type="spellEnd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model can be expressed as:</w:t>
      </w:r>
    </w:p>
    <w:p w14:paraId="4001E97E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β</m:t>
              </m:r>
            </m:den>
          </m:f>
          <m:func>
            <m:func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αβ</m:t>
                  </m:r>
                </m:e>
              </m:d>
            </m:e>
          </m:func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β</m:t>
              </m:r>
            </m:den>
          </m:f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lnt</m:t>
          </m:r>
        </m:oMath>
      </m:oMathPara>
    </w:p>
    <w:p w14:paraId="24675108" w14:textId="3047346B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r w:rsidRPr="00F66930">
        <w:rPr>
          <w:rFonts w:ascii="Symbol" w:eastAsia="宋体" w:hAnsi="Symbol" w:cs="Times New Roman"/>
          <w:color w:val="000000"/>
          <w:sz w:val="24"/>
          <w:szCs w:val="24"/>
        </w:rPr>
        <w:t>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 the initial sorption rate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constant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(mg 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min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and </w:t>
      </w:r>
      <w:r w:rsidRPr="00F66930">
        <w:rPr>
          <w:rFonts w:ascii="Symbol" w:eastAsia="宋体" w:hAnsi="Symbol" w:cs="Times New Roman"/>
          <w:color w:val="000000"/>
          <w:sz w:val="24"/>
          <w:szCs w:val="24"/>
        </w:rPr>
        <w:t>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 the desorption constant (g mg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).</w:t>
      </w:r>
    </w:p>
    <w:p w14:paraId="2A9C539C" w14:textId="77777777" w:rsidR="00296604" w:rsidRPr="00F66930" w:rsidRDefault="00296604" w:rsidP="001A341E">
      <w:pPr>
        <w:widowControl/>
        <w:spacing w:line="480" w:lineRule="auto"/>
        <w:jc w:val="left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br w:type="page"/>
      </w:r>
    </w:p>
    <w:p w14:paraId="4A4047E3" w14:textId="77777777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b/>
          <w:color w:val="000000"/>
          <w:sz w:val="24"/>
          <w:szCs w:val="24"/>
        </w:rPr>
      </w:pPr>
      <w:bookmarkStart w:id="7" w:name="_Hlk136934920"/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lastRenderedPageBreak/>
        <w:t>T</w:t>
      </w:r>
      <w:r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>e</w:t>
      </w: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t xml:space="preserve">xt S2. </w:t>
      </w:r>
      <w:r w:rsidRPr="001A341E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Details</w:t>
      </w:r>
      <w:r w:rsidRPr="00F6693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of</w:t>
      </w:r>
      <w:bookmarkEnd w:id="4"/>
      <w:bookmarkEnd w:id="5"/>
      <w:r w:rsidRPr="00F6693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 w:hint="eastAsia"/>
          <w:bCs/>
          <w:color w:val="000000"/>
          <w:sz w:val="24"/>
          <w:szCs w:val="24"/>
        </w:rPr>
        <w:t xml:space="preserve">isotherm </w:t>
      </w:r>
      <w:r w:rsidRPr="00F66930">
        <w:rPr>
          <w:rFonts w:ascii="Times New Roman" w:eastAsia="宋体" w:hAnsi="Times New Roman" w:cs="Times New Roman"/>
          <w:bCs/>
          <w:color w:val="000000"/>
          <w:sz w:val="24"/>
          <w:szCs w:val="24"/>
        </w:rPr>
        <w:t>models</w:t>
      </w:r>
    </w:p>
    <w:bookmarkEnd w:id="7"/>
    <w:p w14:paraId="1F129C7E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Langmuir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isotherm model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assumes the adsorbent has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homogeneous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surface with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identical adsorption sites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and only can be covered by a complete monolayer. The Langmuir isotherm model can be expressed as:</w:t>
      </w:r>
    </w:p>
    <w:p w14:paraId="280A5D20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宋体" w:hAnsi="Cambria Math" w:cs="Times New Roman" w:hint="eastAsia"/>
                      <w:color w:val="000000"/>
                      <w:sz w:val="24"/>
                      <w:szCs w:val="24"/>
                    </w:rPr>
                    <m:t>e</m:t>
                  </m:r>
                </m:sub>
              </m:sSub>
            </m:num>
            <m:den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L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e</m:t>
                  </m:r>
                </m:sub>
              </m:sSub>
            </m:den>
          </m:f>
        </m:oMath>
      </m:oMathPara>
    </w:p>
    <w:p w14:paraId="30A355D0" w14:textId="1E48CCED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C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e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(mg L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is the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equilibrium concentration of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ENR, </w:t>
      </w:r>
      <w:proofErr w:type="spellStart"/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q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e</w:t>
      </w:r>
      <w:proofErr w:type="spellEnd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(mg 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is the equilibrium adsorption capacity of ENR, </w:t>
      </w:r>
      <w:bookmarkStart w:id="8" w:name="OLE_LINK16"/>
      <w:bookmarkStart w:id="9" w:name="OLE_LINK17"/>
      <w:proofErr w:type="spellStart"/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q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m</w:t>
      </w:r>
      <w:proofErr w:type="spellEnd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(mg 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is the maximum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calculated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monolayer adsorption capacity of adsorbent</w:t>
      </w:r>
      <w:bookmarkEnd w:id="8"/>
      <w:bookmarkEnd w:id="9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, </w:t>
      </w:r>
      <w:proofErr w:type="spellStart"/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k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L</w:t>
      </w:r>
      <w:proofErr w:type="spellEnd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(L mg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is the Langmuir constant related to the free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energy of adsorption.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B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esides, the separation factor of Langmuir model (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R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L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can reflect the essential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characteristics of the Langmuir isotherm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. 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R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L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can be obtained by the following equation: </w:t>
      </w:r>
    </w:p>
    <w:p w14:paraId="051FE774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L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L</m:t>
                  </m:r>
                </m:sub>
              </m:s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i</m:t>
                  </m:r>
                </m:sub>
              </m:sSub>
            </m:den>
          </m:f>
        </m:oMath>
      </m:oMathPara>
    </w:p>
    <w:p w14:paraId="33FF0D48" w14:textId="6288A70A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C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i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is the initial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concentration of ENR (mg L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). The value of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R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  <w:vertAlign w:val="subscript"/>
        </w:rPr>
        <w:t>L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can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indicate the type of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isotherm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: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irreversible (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R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L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=0), favorable (0&lt;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R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L</w:t>
      </w:r>
      <w:r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&lt;1), linear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(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R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L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=1), or unfavorable (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R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  <w:vertAlign w:val="subscript"/>
        </w:rPr>
        <w:t>L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&gt;1)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. </w:t>
      </w:r>
    </w:p>
    <w:p w14:paraId="5AAD4937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In addition, t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he empirical </w:t>
      </w:r>
      <w:bookmarkStart w:id="10" w:name="OLE_LINK2"/>
      <w:bookmarkStart w:id="11" w:name="OLE_LINK3"/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Freundlich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isotherm</w:t>
      </w:r>
      <w:bookmarkEnd w:id="10"/>
      <w:bookmarkEnd w:id="11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assum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es the adsorbent has </w:t>
      </w:r>
      <w:bookmarkStart w:id="12" w:name="OLE_LINK1"/>
      <w:bookmarkStart w:id="13" w:name="OLE_LINK10"/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heterogeneous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bookmarkEnd w:id="12"/>
      <w:bookmarkEnd w:id="13"/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adsorbent surface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with non-uniform adsorption sites, and describes reversible adsorption process.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he Freundlich isotherm can be expressed as:</w:t>
      </w:r>
    </w:p>
    <w:p w14:paraId="44DE9673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sub>
              </m:sSub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e</m:t>
                  </m:r>
                </m:sub>
              </m:sSub>
            </m:e>
            <m:sup>
              <m:f>
                <m:fPr>
                  <m:type m:val="skw"/>
                  <m:ctrlPr>
                    <w:rPr>
                      <w:rFonts w:ascii="Cambria Math" w:eastAsia="宋体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n</m:t>
                  </m:r>
                </m:den>
              </m:f>
            </m:sup>
          </m:sSup>
        </m:oMath>
      </m:oMathPara>
    </w:p>
    <w:p w14:paraId="2A3EA0F5" w14:textId="77777777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K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F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and n are Freundlich constants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parameters that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related to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sorption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capacity and sorption intensity, respectively.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If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1/</w:t>
      </w:r>
      <w:r w:rsidRPr="00317367">
        <w:rPr>
          <w:rFonts w:ascii="Times New Roman" w:eastAsia="宋体" w:hAnsi="Times New Roman" w:cs="Times New Roman"/>
          <w:i/>
          <w:iCs/>
          <w:color w:val="000000"/>
          <w:sz w:val="24"/>
          <w:szCs w:val="24"/>
        </w:rPr>
        <w:t>n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&lt;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, it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indicates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the adsorption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is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favorable, and becoming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more favorable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as its value get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closer to zero.</w:t>
      </w:r>
    </w:p>
    <w:p w14:paraId="3FB18F0D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lastRenderedPageBreak/>
        <w:t>M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oreover, the Temkin isotherm model is based on the assumption that the adsorption heat of all molecules in the layer would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decrease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linearly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due to surface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coverage</w:t>
      </w:r>
      <w:r w:rsidRPr="00F66930">
        <w:rPr>
          <w:rFonts w:ascii="Times New Roman" w:eastAsia="宋体" w:hAnsi="Times New Roman" w:cs="Times New Roman" w:hint="eastAsia"/>
          <w:noProof/>
          <w:color w:val="000000"/>
          <w:sz w:val="24"/>
          <w:szCs w:val="24"/>
        </w:rPr>
        <w:t>.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he Temkin isotherm can be expressed as:</w:t>
      </w:r>
    </w:p>
    <w:p w14:paraId="19C9BA78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=Bln(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T</m:t>
              </m:r>
            </m:sub>
          </m:sSub>
          <m:sSub>
            <m:sSub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)</m:t>
          </m:r>
        </m:oMath>
      </m:oMathPara>
    </w:p>
    <w:p w14:paraId="6B0351C7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B=</m:t>
          </m:r>
          <m:f>
            <m:f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RT</m:t>
              </m:r>
            </m:num>
            <m:den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b</m:t>
              </m:r>
            </m:den>
          </m:f>
        </m:oMath>
      </m:oMathPara>
    </w:p>
    <w:p w14:paraId="7965245E" w14:textId="7C74488D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proofErr w:type="spellStart"/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k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  <w:vertAlign w:val="subscript"/>
        </w:rPr>
        <w:t>T</w:t>
      </w:r>
      <w:proofErr w:type="spellEnd"/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(L mg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 is the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equilibrium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binding constant related to the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maximum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binding energy, 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B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 the Temkin isotherm constant, R is the universal gas constant (8.314 J mol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 xml:space="preserve">1 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K</w:t>
      </w:r>
      <w:r w:rsidR="00103563">
        <w:rPr>
          <w:rFonts w:ascii="微软雅黑" w:eastAsia="微软雅黑" w:hAnsi="微软雅黑" w:cs="微软雅黑" w:hint="eastAsia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), </w:t>
      </w:r>
      <w:r w:rsidRPr="00317367">
        <w:rPr>
          <w:rFonts w:ascii="Times New Roman" w:eastAsia="宋体" w:hAnsi="Times New Roman" w:cs="Times New Roman" w:hint="eastAsia"/>
          <w:i/>
          <w:iCs/>
          <w:color w:val="000000"/>
          <w:sz w:val="24"/>
          <w:szCs w:val="24"/>
        </w:rPr>
        <w:t>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 the temperature (K), and b is the Temkin isotherm constant that related to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the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adsorption heat. </w:t>
      </w:r>
    </w:p>
    <w:p w14:paraId="38312BB3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F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inally, the </w:t>
      </w:r>
      <w:proofErr w:type="spellStart"/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Dubinin-Radushkevich</w:t>
      </w:r>
      <w:proofErr w:type="spellEnd"/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(D-R) isotherm model was also used to fit the experimental data.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he D-R isotherm model is widely used to estimate the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biosorption mean free energy E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and the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characteristics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of adsorption</w:t>
      </w:r>
      <w:r w:rsidRPr="00F66930">
        <w:rPr>
          <w:rFonts w:ascii="Times New Roman" w:eastAsia="宋体" w:hAnsi="Times New Roman" w:cs="Times New Roman" w:hint="eastAsia"/>
          <w:noProof/>
          <w:color w:val="000000"/>
          <w:sz w:val="24"/>
          <w:szCs w:val="24"/>
        </w:rPr>
        <w:t>.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T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he D-R model can be expressed as:</w:t>
      </w:r>
    </w:p>
    <w:p w14:paraId="51664E1D" w14:textId="77777777" w:rsidR="00296604" w:rsidRPr="00F66930" w:rsidRDefault="001B396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e</m:t>
              </m:r>
            </m:sub>
          </m:sSub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m</m:t>
              </m:r>
            </m:sub>
          </m:sSub>
          <m:r>
            <m:rPr>
              <m:sty m:val="p"/>
            </m:rP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exp⁡</m:t>
          </m:r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(-β</m:t>
          </m:r>
          <m:sSup>
            <m:sSupPr>
              <m:ctrlPr>
                <w:rPr>
                  <w:rFonts w:ascii="Cambria Math" w:eastAsia="宋体" w:hAnsi="Cambria Math" w:cs="Times New Roman"/>
                  <w:i/>
                  <w:color w:val="000000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ε</m:t>
              </m:r>
            </m:e>
            <m:sup>
              <m: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)</m:t>
          </m:r>
        </m:oMath>
      </m:oMathPara>
    </w:p>
    <w:p w14:paraId="5CCF9170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color w:val="000000"/>
              <w:sz w:val="24"/>
              <w:szCs w:val="24"/>
            </w:rPr>
            <m:t>ε=RTln</m:t>
          </m:r>
          <m:d>
            <m:dPr>
              <m:ctrl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宋体" w:hAnsi="Cambria Math" w:cs="Times New Roman"/>
                  <w:color w:val="000000"/>
                  <w:sz w:val="24"/>
                  <w:szCs w:val="24"/>
                </w:rPr>
                <m:t>1+</m:t>
              </m:r>
              <m:f>
                <m:fPr>
                  <m:ctrlP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宋体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/>
                          <w:color w:val="000000"/>
                          <w:sz w:val="24"/>
                          <w:szCs w:val="24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color w:val="000000"/>
                          <w:sz w:val="24"/>
                          <w:szCs w:val="24"/>
                        </w:rPr>
                        <m:t>e</m:t>
                      </m:r>
                    </m:sub>
                  </m:sSub>
                </m:den>
              </m:f>
            </m:e>
          </m:d>
        </m:oMath>
      </m:oMathPara>
    </w:p>
    <w:p w14:paraId="220B6CE7" w14:textId="77777777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where </w:t>
      </w:r>
      <w:r w:rsidRPr="00F66930">
        <w:rPr>
          <w:rFonts w:ascii="Symbol" w:eastAsia="宋体" w:hAnsi="Symbol" w:cs="Times New Roman"/>
          <w:color w:val="000000"/>
          <w:sz w:val="24"/>
          <w:szCs w:val="24"/>
        </w:rPr>
        <w:t></w:t>
      </w:r>
      <w:r w:rsidRPr="00F66930">
        <w:rPr>
          <w:rFonts w:ascii="Symbol" w:eastAsia="宋体" w:hAnsi="Symbol" w:cs="Times New Roman"/>
          <w:color w:val="000000"/>
          <w:sz w:val="24"/>
          <w:szCs w:val="24"/>
        </w:rPr>
        <w:t></w:t>
      </w:r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 xml:space="preserve">is a constant related to adsorption energy; </w:t>
      </w:r>
      <w:r w:rsidRPr="00F66930">
        <w:rPr>
          <w:rFonts w:ascii="Symbol" w:eastAsia="宋体" w:hAnsi="Symbol" w:cs="Calibri"/>
          <w:color w:val="000000"/>
          <w:sz w:val="24"/>
          <w:szCs w:val="24"/>
        </w:rPr>
        <w:t></w:t>
      </w:r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 xml:space="preserve"> is </w:t>
      </w:r>
      <w:proofErr w:type="spellStart"/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>p</w:t>
      </w:r>
      <w:r w:rsidRPr="00F66930">
        <w:rPr>
          <w:rFonts w:ascii="Times New Roman" w:eastAsia="宋体" w:hAnsi="Times New Roman" w:cs="Calibri"/>
          <w:color w:val="000000"/>
          <w:sz w:val="24"/>
          <w:szCs w:val="24"/>
        </w:rPr>
        <w:t>olanyi</w:t>
      </w:r>
      <w:proofErr w:type="spellEnd"/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 xml:space="preserve"> sorption potential, which is correlated to </w:t>
      </w:r>
      <w:bookmarkStart w:id="14" w:name="OLE_LINK18"/>
      <w:bookmarkStart w:id="15" w:name="OLE_LINK19"/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>the required sorption energy E</w:t>
      </w:r>
      <w:bookmarkEnd w:id="14"/>
      <w:bookmarkEnd w:id="15"/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 xml:space="preserve"> to move one molecule of solute from infinity to the surface of sorbents. The value of </w:t>
      </w:r>
      <w:r w:rsidRPr="00F66930">
        <w:rPr>
          <w:rFonts w:ascii="Symbol" w:eastAsia="宋体" w:hAnsi="Symbol" w:cs="Calibri"/>
          <w:color w:val="000000"/>
          <w:sz w:val="24"/>
          <w:szCs w:val="24"/>
        </w:rPr>
        <w:t></w:t>
      </w:r>
      <w:r w:rsidRPr="00F66930">
        <w:rPr>
          <w:rFonts w:ascii="Times New Roman" w:eastAsia="宋体" w:hAnsi="Times New Roman" w:cs="Calibri" w:hint="eastAsia"/>
          <w:color w:val="000000"/>
          <w:sz w:val="24"/>
          <w:szCs w:val="24"/>
        </w:rPr>
        <w:t xml:space="preserve"> and E can be obtained from the following equations:</w:t>
      </w:r>
    </w:p>
    <w:p w14:paraId="2B5D8D05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Calibri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Calibri"/>
              <w:color w:val="000000"/>
              <w:sz w:val="24"/>
              <w:szCs w:val="24"/>
            </w:rPr>
            <m:t>ε=RT</m:t>
          </m:r>
          <m:func>
            <m:funcPr>
              <m:ctrlPr>
                <w:rPr>
                  <w:rFonts w:ascii="Cambria Math" w:eastAsia="宋体" w:hAnsi="Cambria Math" w:cs="Calibri"/>
                  <w:color w:val="00000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宋体" w:hAnsi="Cambria Math" w:cs="Calibri"/>
                  <w:color w:val="000000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eastAsia="宋体" w:hAnsi="Cambria Math" w:cs="Calibri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宋体" w:hAnsi="Cambria Math" w:cs="Calibri"/>
                      <w:color w:val="000000"/>
                      <w:sz w:val="24"/>
                      <w:szCs w:val="24"/>
                    </w:rPr>
                    <m:t>1+</m:t>
                  </m:r>
                  <m:f>
                    <m:fPr>
                      <m:ctrlPr>
                        <w:rPr>
                          <w:rFonts w:ascii="Cambria Math" w:eastAsia="宋体" w:hAnsi="Cambria Math" w:cs="Calibri"/>
                          <w:i/>
                          <w:color w:val="00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 w:cs="Calibri"/>
                          <w:color w:val="000000"/>
                          <w:sz w:val="24"/>
                          <w:szCs w:val="24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宋体" w:hAnsi="Cambria Math" w:cs="Calibri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Calibri"/>
                              <w:color w:val="000000"/>
                              <w:sz w:val="24"/>
                              <w:szCs w:val="24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Calibri"/>
                              <w:color w:val="000000"/>
                              <w:sz w:val="24"/>
                              <w:szCs w:val="24"/>
                            </w:rPr>
                            <m:t>e</m:t>
                          </m:r>
                        </m:sub>
                      </m:sSub>
                    </m:den>
                  </m:f>
                </m:e>
              </m:d>
            </m:e>
          </m:func>
        </m:oMath>
      </m:oMathPara>
    </w:p>
    <w:p w14:paraId="3EF7CE03" w14:textId="77777777" w:rsidR="00296604" w:rsidRPr="00F66930" w:rsidRDefault="00296604" w:rsidP="001A341E">
      <w:pPr>
        <w:widowControl/>
        <w:spacing w:line="480" w:lineRule="auto"/>
        <w:ind w:firstLineChars="200" w:firstLine="480"/>
        <w:rPr>
          <w:rFonts w:ascii="Times New Roman" w:eastAsia="宋体" w:hAnsi="Times New Roman" w:cs="Calibri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Calibri"/>
              <w:color w:val="000000"/>
              <w:sz w:val="24"/>
              <w:szCs w:val="24"/>
            </w:rPr>
            <m:t>E=</m:t>
          </m:r>
          <m:sSup>
            <m:sSupPr>
              <m:ctrlPr>
                <w:rPr>
                  <w:rFonts w:ascii="Cambria Math" w:eastAsia="宋体" w:hAnsi="Cambria Math" w:cs="Calibri"/>
                  <w:color w:val="000000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="宋体" w:hAnsi="Cambria Math" w:cs="Calibri"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宋体" w:hAnsi="Cambria Math" w:cs="Calibri"/>
                      <w:color w:val="000000"/>
                      <w:sz w:val="24"/>
                      <w:szCs w:val="24"/>
                    </w:rPr>
                    <m:t>2β</m:t>
                  </m:r>
                </m:e>
              </m:d>
            </m:e>
            <m:sup>
              <m:r>
                <w:rPr>
                  <w:rFonts w:ascii="Cambria Math" w:eastAsia="宋体" w:hAnsi="Cambria Math" w:cs="Calibri"/>
                  <w:color w:val="000000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eastAsia="宋体" w:hAnsi="Cambria Math" w:cs="Calibri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宋体" w:hAnsi="Cambria Math" w:cs="Calibri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宋体" w:hAnsi="Cambria Math" w:cs="Calibri"/>
                      <w:color w:val="000000"/>
                      <w:sz w:val="24"/>
                      <w:szCs w:val="24"/>
                    </w:rPr>
                    <m:t>2</m:t>
                  </m:r>
                </m:den>
              </m:f>
            </m:sup>
          </m:sSup>
        </m:oMath>
      </m:oMathPara>
    </w:p>
    <w:p w14:paraId="43A710B9" w14:textId="6DEE72D6" w:rsidR="00296604" w:rsidRPr="00F66930" w:rsidRDefault="00296604" w:rsidP="001A341E">
      <w:pPr>
        <w:widowControl/>
        <w:spacing w:line="480" w:lineRule="auto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lastRenderedPageBreak/>
        <w:t>where R is the universal gas constant (8.314 J mol</w:t>
      </w:r>
      <w:r w:rsidR="00103563" w:rsidRP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K</w:t>
      </w:r>
      <w:r w:rsidR="00103563" w:rsidRP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), T is the temperature (K). And the value of E can reflect the whether the adsorption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process tends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to </w:t>
      </w:r>
      <w:r w:rsidRPr="00F66930">
        <w:rPr>
          <w:rFonts w:ascii="Times New Roman" w:eastAsia="宋体" w:hAnsi="Times New Roman" w:cs="Times New Roman"/>
          <w:color w:val="000000"/>
          <w:sz w:val="24"/>
          <w:szCs w:val="24"/>
        </w:rPr>
        <w:t>chemisorption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(E &gt; 8 kJ mol</w:t>
      </w:r>
      <w:r w:rsidR="00103563" w:rsidRP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) or physisorption (E &lt; 8 kJ mol</w:t>
      </w:r>
      <w:r w:rsidR="00103563" w:rsidRPr="00103563">
        <w:rPr>
          <w:rFonts w:ascii="Times New Roman" w:eastAsia="宋体" w:hAnsi="Times New Roman" w:cs="Times New Roman"/>
          <w:color w:val="000000"/>
          <w:sz w:val="24"/>
          <w:szCs w:val="24"/>
          <w:vertAlign w:val="superscript"/>
        </w:rPr>
        <w:t>−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  <w:vertAlign w:val="superscript"/>
        </w:rPr>
        <w:t>1</w:t>
      </w:r>
      <w:r w:rsidRPr="00F66930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)</w:t>
      </w:r>
      <w:r>
        <w:rPr>
          <w:rFonts w:ascii="Times New Roman" w:eastAsia="宋体" w:hAnsi="Times New Roman" w:cs="Times New Roman"/>
          <w:noProof/>
          <w:color w:val="000000"/>
          <w:sz w:val="24"/>
          <w:szCs w:val="24"/>
        </w:rPr>
        <w:t>.</w:t>
      </w:r>
    </w:p>
    <w:p w14:paraId="7B39558E" w14:textId="77777777" w:rsidR="00296604" w:rsidRDefault="00296604">
      <w:pPr>
        <w:widowControl/>
        <w:jc w:val="left"/>
      </w:pPr>
      <w:r>
        <w:br w:type="page"/>
      </w:r>
    </w:p>
    <w:p w14:paraId="61942C4F" w14:textId="77777777" w:rsidR="00296604" w:rsidRPr="00296604" w:rsidRDefault="00296604" w:rsidP="00423497">
      <w:pPr>
        <w:widowControl/>
        <w:spacing w:line="360" w:lineRule="auto"/>
        <w:rPr>
          <w:rFonts w:ascii="Times New Roman" w:eastAsia="宋体" w:hAnsi="Times New Roman" w:cs="Times New Roman"/>
          <w:color w:val="000000" w:themeColor="text1"/>
          <w:szCs w:val="21"/>
        </w:rPr>
      </w:pPr>
      <w:r w:rsidRPr="00296604"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lastRenderedPageBreak/>
        <w:t>Table S</w:t>
      </w:r>
      <w:r w:rsidRPr="00296604">
        <w:rPr>
          <w:rFonts w:ascii="Times New Roman" w:eastAsia="宋体" w:hAnsi="Times New Roman" w:cs="Times New Roman"/>
          <w:b/>
          <w:color w:val="000000" w:themeColor="text1"/>
          <w:szCs w:val="21"/>
        </w:rPr>
        <w:t>2</w:t>
      </w:r>
      <w:r w:rsidRPr="00296604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Pr="00296604">
        <w:rPr>
          <w:rFonts w:ascii="Times New Roman" w:eastAsia="宋体" w:hAnsi="Times New Roman" w:cs="Times New Roman"/>
          <w:color w:val="000000" w:themeColor="text1"/>
          <w:szCs w:val="21"/>
        </w:rPr>
        <w:t xml:space="preserve">Comparison of the maximum monolayer adsorption </w:t>
      </w:r>
      <w:r w:rsidRPr="00296604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capacities </w:t>
      </w:r>
      <w:r w:rsidRPr="00296604">
        <w:rPr>
          <w:rFonts w:ascii="Times New Roman" w:eastAsia="宋体" w:hAnsi="Times New Roman" w:cs="Times New Roman"/>
          <w:color w:val="000000" w:themeColor="text1"/>
          <w:szCs w:val="21"/>
        </w:rPr>
        <w:t>of</w:t>
      </w:r>
      <w:r w:rsidRPr="00296604">
        <w:rPr>
          <w:rFonts w:ascii="Times New Roman" w:eastAsia="宋体" w:hAnsi="Times New Roman" w:cs="Times New Roman" w:hint="eastAsia"/>
          <w:color w:val="000000" w:themeColor="text1"/>
          <w:szCs w:val="21"/>
        </w:rPr>
        <w:t xml:space="preserve"> </w:t>
      </w:r>
      <w:r w:rsidRPr="00296604">
        <w:rPr>
          <w:rFonts w:ascii="Times New Roman" w:eastAsia="宋体" w:hAnsi="Times New Roman" w:cs="Times New Roman"/>
          <w:color w:val="000000" w:themeColor="text1"/>
          <w:szCs w:val="21"/>
        </w:rPr>
        <w:t xml:space="preserve">MG onto various </w:t>
      </w:r>
      <w:r w:rsidRPr="00296604">
        <w:rPr>
          <w:rFonts w:ascii="Times New Roman" w:eastAsia="宋体" w:hAnsi="Times New Roman" w:cs="Times New Roman" w:hint="eastAsia"/>
          <w:color w:val="000000" w:themeColor="text1"/>
          <w:szCs w:val="21"/>
        </w:rPr>
        <w:t>bio</w:t>
      </w:r>
      <w:r w:rsidRPr="00296604">
        <w:rPr>
          <w:rFonts w:ascii="Times New Roman" w:eastAsia="宋体" w:hAnsi="Times New Roman" w:cs="Times New Roman"/>
          <w:color w:val="000000" w:themeColor="text1"/>
          <w:szCs w:val="21"/>
        </w:rPr>
        <w:t>sorbents.</w:t>
      </w:r>
    </w:p>
    <w:tbl>
      <w:tblPr>
        <w:tblStyle w:val="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1662"/>
        <w:gridCol w:w="1426"/>
        <w:gridCol w:w="1353"/>
      </w:tblGrid>
      <w:tr w:rsidR="00296604" w:rsidRPr="00296604" w14:paraId="14046BE0" w14:textId="77777777" w:rsidTr="00296604">
        <w:tc>
          <w:tcPr>
            <w:tcW w:w="3865" w:type="dxa"/>
            <w:tcBorders>
              <w:top w:val="single" w:sz="4" w:space="0" w:color="auto"/>
              <w:bottom w:val="single" w:sz="4" w:space="0" w:color="auto"/>
            </w:tcBorders>
          </w:tcPr>
          <w:p w14:paraId="0C74B921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Biosorbent</w:t>
            </w:r>
          </w:p>
        </w:tc>
        <w:tc>
          <w:tcPr>
            <w:tcW w:w="1662" w:type="dxa"/>
            <w:tcBorders>
              <w:top w:val="single" w:sz="4" w:space="0" w:color="auto"/>
              <w:bottom w:val="single" w:sz="4" w:space="0" w:color="auto"/>
            </w:tcBorders>
          </w:tcPr>
          <w:p w14:paraId="74EEE613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  <w:szCs w:val="24"/>
              </w:rPr>
            </w:pPr>
            <w:proofErr w:type="spellStart"/>
            <w:r w:rsidRPr="00296604">
              <w:rPr>
                <w:rFonts w:eastAsia="宋体" w:cs="Times New Roman"/>
                <w:color w:val="000000" w:themeColor="text1"/>
                <w:szCs w:val="24"/>
              </w:rPr>
              <w:t>q</w:t>
            </w:r>
            <w:r w:rsidRPr="00296604">
              <w:rPr>
                <w:rFonts w:eastAsia="宋体" w:cs="Times New Roman"/>
                <w:color w:val="000000" w:themeColor="text1"/>
                <w:szCs w:val="24"/>
                <w:vertAlign w:val="subscript"/>
              </w:rPr>
              <w:t>m</w:t>
            </w:r>
            <w:proofErr w:type="spellEnd"/>
            <w:r w:rsidRPr="00296604">
              <w:rPr>
                <w:rFonts w:eastAsia="宋体" w:cs="Times New Roman"/>
                <w:color w:val="000000" w:themeColor="text1"/>
                <w:szCs w:val="24"/>
              </w:rPr>
              <w:t xml:space="preserve"> </w:t>
            </w:r>
          </w:p>
          <w:p w14:paraId="0BFD64DC" w14:textId="74A1743B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  <w:szCs w:val="24"/>
              </w:rPr>
              <w:t>(</w:t>
            </w:r>
            <w:proofErr w:type="gramStart"/>
            <w:r w:rsidRPr="00296604">
              <w:rPr>
                <w:rFonts w:eastAsia="宋体" w:cs="Times New Roman"/>
                <w:color w:val="000000" w:themeColor="text1"/>
                <w:szCs w:val="24"/>
              </w:rPr>
              <w:t>mg</w:t>
            </w:r>
            <w:proofErr w:type="gramEnd"/>
            <w:r w:rsidRPr="00296604">
              <w:rPr>
                <w:rFonts w:eastAsia="宋体" w:cs="Times New Roman" w:hint="eastAsia"/>
                <w:color w:val="000000" w:themeColor="text1"/>
                <w:szCs w:val="24"/>
              </w:rPr>
              <w:t xml:space="preserve"> </w:t>
            </w:r>
            <w:r w:rsidRPr="00296604">
              <w:rPr>
                <w:rFonts w:eastAsia="宋体" w:cs="Times New Roman"/>
                <w:color w:val="000000" w:themeColor="text1"/>
                <w:szCs w:val="24"/>
              </w:rPr>
              <w:t>g</w:t>
            </w:r>
            <w:r w:rsidR="00103563" w:rsidRPr="00103563">
              <w:rPr>
                <w:rFonts w:eastAsia="宋体" w:cs="Times New Roman"/>
                <w:color w:val="000000" w:themeColor="text1"/>
                <w:szCs w:val="24"/>
                <w:vertAlign w:val="superscript"/>
              </w:rPr>
              <w:t>−</w:t>
            </w:r>
            <w:r w:rsidRPr="00296604">
              <w:rPr>
                <w:rFonts w:eastAsia="宋体" w:cs="Times New Roman" w:hint="eastAsia"/>
                <w:color w:val="000000" w:themeColor="text1"/>
                <w:szCs w:val="24"/>
                <w:vertAlign w:val="superscript"/>
              </w:rPr>
              <w:t>1</w:t>
            </w:r>
            <w:r w:rsidRPr="00296604">
              <w:rPr>
                <w:rFonts w:eastAsia="宋体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</w:tcPr>
          <w:p w14:paraId="13130C70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 xml:space="preserve">Temperature </w:t>
            </w:r>
          </w:p>
          <w:p w14:paraId="5CD0E739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(K)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14:paraId="55435AEF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References</w:t>
            </w:r>
          </w:p>
        </w:tc>
      </w:tr>
      <w:tr w:rsidR="00296604" w:rsidRPr="00296604" w14:paraId="6B525CBD" w14:textId="77777777" w:rsidTr="00296604">
        <w:trPr>
          <w:trHeight w:val="260"/>
        </w:trPr>
        <w:tc>
          <w:tcPr>
            <w:tcW w:w="3865" w:type="dxa"/>
            <w:tcBorders>
              <w:top w:val="single" w:sz="4" w:space="0" w:color="auto"/>
              <w:bottom w:val="nil"/>
            </w:tcBorders>
          </w:tcPr>
          <w:p w14:paraId="2C56C828" w14:textId="4F5E6FC4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i/>
                <w:iCs/>
                <w:color w:val="000000" w:themeColor="text1"/>
              </w:rPr>
              <w:t xml:space="preserve">Luffa </w:t>
            </w:r>
            <w:proofErr w:type="spellStart"/>
            <w:r w:rsidRPr="00296604">
              <w:rPr>
                <w:rFonts w:eastAsia="宋体" w:cs="Times New Roman"/>
                <w:i/>
                <w:iCs/>
                <w:color w:val="000000" w:themeColor="text1"/>
              </w:rPr>
              <w:t>aegyptica</w:t>
            </w:r>
            <w:proofErr w:type="spellEnd"/>
            <w:r w:rsidRPr="00296604">
              <w:rPr>
                <w:rFonts w:eastAsia="宋体" w:cs="Times New Roman"/>
                <w:color w:val="000000" w:themeColor="text1"/>
              </w:rPr>
              <w:t xml:space="preserve"> peel (LAP)</w:t>
            </w:r>
          </w:p>
        </w:tc>
        <w:tc>
          <w:tcPr>
            <w:tcW w:w="1662" w:type="dxa"/>
            <w:tcBorders>
              <w:top w:val="single" w:sz="4" w:space="0" w:color="auto"/>
            </w:tcBorders>
          </w:tcPr>
          <w:p w14:paraId="54F72364" w14:textId="74F29DB9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166.67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14:paraId="2815A466" w14:textId="1A99C389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303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61509433" w14:textId="3BCEC49A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noProof/>
                <w:color w:val="000000" w:themeColor="text1"/>
              </w:rPr>
            </w:pPr>
            <w:r w:rsidRPr="00296604">
              <w:rPr>
                <w:rFonts w:eastAsia="宋体" w:cs="Times New Roman"/>
                <w:noProof/>
                <w:color w:val="000000" w:themeColor="text1"/>
              </w:rPr>
              <w:t>[</w:t>
            </w:r>
            <w:r w:rsidR="0019273E">
              <w:rPr>
                <w:rFonts w:eastAsia="宋体" w:cs="Times New Roman"/>
                <w:noProof/>
                <w:color w:val="000000" w:themeColor="text1"/>
              </w:rPr>
              <w:t>54</w:t>
            </w:r>
            <w:r w:rsidRPr="00296604">
              <w:rPr>
                <w:rFonts w:eastAsia="宋体" w:cs="Times New Roman"/>
                <w:noProof/>
                <w:color w:val="000000" w:themeColor="text1"/>
              </w:rPr>
              <w:t>]</w:t>
            </w:r>
          </w:p>
        </w:tc>
      </w:tr>
      <w:tr w:rsidR="00296604" w:rsidRPr="00296604" w14:paraId="016AC566" w14:textId="77777777" w:rsidTr="00296604">
        <w:trPr>
          <w:trHeight w:val="260"/>
        </w:trPr>
        <w:tc>
          <w:tcPr>
            <w:tcW w:w="3865" w:type="dxa"/>
            <w:tcBorders>
              <w:top w:val="nil"/>
            </w:tcBorders>
          </w:tcPr>
          <w:p w14:paraId="7A403E43" w14:textId="3DEBC618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i/>
                <w:iCs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NaOH modified LAP</w:t>
            </w:r>
          </w:p>
        </w:tc>
        <w:tc>
          <w:tcPr>
            <w:tcW w:w="1662" w:type="dxa"/>
          </w:tcPr>
          <w:p w14:paraId="0DA182FC" w14:textId="641F7523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1</w:t>
            </w:r>
            <w:r w:rsidRPr="00296604">
              <w:rPr>
                <w:rFonts w:eastAsia="宋体" w:cs="Times New Roman"/>
                <w:color w:val="000000" w:themeColor="text1"/>
              </w:rPr>
              <w:t>61.29</w:t>
            </w:r>
          </w:p>
        </w:tc>
        <w:tc>
          <w:tcPr>
            <w:tcW w:w="1426" w:type="dxa"/>
          </w:tcPr>
          <w:p w14:paraId="082AADBB" w14:textId="747072BF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3</w:t>
            </w:r>
            <w:r w:rsidRPr="00296604">
              <w:rPr>
                <w:rFonts w:eastAsia="宋体" w:cs="Times New Roman"/>
                <w:color w:val="000000" w:themeColor="text1"/>
              </w:rPr>
              <w:t>03</w:t>
            </w:r>
          </w:p>
        </w:tc>
        <w:tc>
          <w:tcPr>
            <w:tcW w:w="1353" w:type="dxa"/>
          </w:tcPr>
          <w:p w14:paraId="68578A8A" w14:textId="404E090E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noProof/>
                <w:color w:val="000000" w:themeColor="text1"/>
              </w:rPr>
            </w:pPr>
            <w:r w:rsidRPr="00296604">
              <w:rPr>
                <w:rFonts w:eastAsia="宋体" w:cs="Times New Roman"/>
                <w:noProof/>
                <w:color w:val="000000" w:themeColor="text1"/>
              </w:rPr>
              <w:t>[</w:t>
            </w:r>
            <w:r w:rsidR="0019273E">
              <w:rPr>
                <w:rFonts w:eastAsia="宋体" w:cs="Times New Roman"/>
                <w:noProof/>
                <w:color w:val="000000" w:themeColor="text1"/>
              </w:rPr>
              <w:t>54</w:t>
            </w:r>
            <w:r w:rsidRPr="00296604">
              <w:rPr>
                <w:rFonts w:eastAsia="宋体" w:cs="Times New Roman"/>
                <w:noProof/>
                <w:color w:val="000000" w:themeColor="text1"/>
              </w:rPr>
              <w:t>]</w:t>
            </w:r>
          </w:p>
        </w:tc>
      </w:tr>
      <w:tr w:rsidR="00296604" w:rsidRPr="00296604" w14:paraId="2E590D81" w14:textId="77777777" w:rsidTr="00296604">
        <w:tc>
          <w:tcPr>
            <w:tcW w:w="3865" w:type="dxa"/>
          </w:tcPr>
          <w:p w14:paraId="51BCB44C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Almond peel</w:t>
            </w:r>
          </w:p>
        </w:tc>
        <w:tc>
          <w:tcPr>
            <w:tcW w:w="1662" w:type="dxa"/>
          </w:tcPr>
          <w:p w14:paraId="4F5DA857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34.60</w:t>
            </w:r>
          </w:p>
        </w:tc>
        <w:tc>
          <w:tcPr>
            <w:tcW w:w="1426" w:type="dxa"/>
          </w:tcPr>
          <w:p w14:paraId="570FFE8D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298</w:t>
            </w:r>
          </w:p>
        </w:tc>
        <w:tc>
          <w:tcPr>
            <w:tcW w:w="1353" w:type="dxa"/>
          </w:tcPr>
          <w:p w14:paraId="1BA5451C" w14:textId="7C107BC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noProof/>
                <w:color w:val="000000" w:themeColor="text1"/>
              </w:rPr>
              <w:t>[</w:t>
            </w:r>
            <w:r w:rsidR="0019273E">
              <w:rPr>
                <w:rFonts w:eastAsia="宋体" w:cs="Times New Roman"/>
                <w:noProof/>
                <w:color w:val="000000" w:themeColor="text1"/>
              </w:rPr>
              <w:t>55</w:t>
            </w:r>
            <w:r w:rsidRPr="00296604">
              <w:rPr>
                <w:rFonts w:eastAsia="宋体" w:cs="Times New Roman"/>
                <w:noProof/>
                <w:color w:val="000000" w:themeColor="text1"/>
              </w:rPr>
              <w:t>]</w:t>
            </w:r>
          </w:p>
        </w:tc>
      </w:tr>
      <w:tr w:rsidR="00296604" w:rsidRPr="00296604" w14:paraId="2783EB27" w14:textId="77777777" w:rsidTr="00296604">
        <w:tc>
          <w:tcPr>
            <w:tcW w:w="3865" w:type="dxa"/>
          </w:tcPr>
          <w:p w14:paraId="2967C889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Garlic peel based mesoporous carbon nanospheres</w:t>
            </w:r>
          </w:p>
        </w:tc>
        <w:tc>
          <w:tcPr>
            <w:tcW w:w="1662" w:type="dxa"/>
          </w:tcPr>
          <w:p w14:paraId="0D84EBDE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373.7</w:t>
            </w:r>
          </w:p>
        </w:tc>
        <w:tc>
          <w:tcPr>
            <w:tcW w:w="1426" w:type="dxa"/>
          </w:tcPr>
          <w:p w14:paraId="3F594AB0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r</w:t>
            </w:r>
            <w:r w:rsidRPr="00296604">
              <w:rPr>
                <w:rFonts w:eastAsia="宋体" w:cs="Times New Roman"/>
                <w:color w:val="000000" w:themeColor="text1"/>
              </w:rPr>
              <w:t>oom temperature</w:t>
            </w:r>
          </w:p>
        </w:tc>
        <w:tc>
          <w:tcPr>
            <w:tcW w:w="1353" w:type="dxa"/>
          </w:tcPr>
          <w:p w14:paraId="5F930DC3" w14:textId="67A19B54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noProof/>
                <w:color w:val="000000" w:themeColor="text1"/>
              </w:rPr>
              <w:t>[</w:t>
            </w:r>
            <w:r w:rsidR="0019273E">
              <w:rPr>
                <w:rFonts w:eastAsia="宋体" w:cs="Times New Roman"/>
                <w:noProof/>
                <w:color w:val="000000" w:themeColor="text1"/>
              </w:rPr>
              <w:t>56</w:t>
            </w:r>
            <w:r w:rsidRPr="00296604">
              <w:rPr>
                <w:rFonts w:eastAsia="宋体" w:cs="Times New Roman"/>
                <w:noProof/>
                <w:color w:val="000000" w:themeColor="text1"/>
              </w:rPr>
              <w:t>]</w:t>
            </w:r>
          </w:p>
        </w:tc>
      </w:tr>
      <w:tr w:rsidR="00296604" w:rsidRPr="00296604" w14:paraId="21FD11CC" w14:textId="77777777" w:rsidTr="00296604">
        <w:tc>
          <w:tcPr>
            <w:tcW w:w="3865" w:type="dxa"/>
          </w:tcPr>
          <w:p w14:paraId="0AE0ED92" w14:textId="1E0D5D25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Sunflower seed waste derived carbon nanoparticles</w:t>
            </w:r>
          </w:p>
        </w:tc>
        <w:tc>
          <w:tcPr>
            <w:tcW w:w="1662" w:type="dxa"/>
          </w:tcPr>
          <w:p w14:paraId="7206A891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11.07</w:t>
            </w:r>
          </w:p>
        </w:tc>
        <w:tc>
          <w:tcPr>
            <w:tcW w:w="1426" w:type="dxa"/>
          </w:tcPr>
          <w:p w14:paraId="047DBB2A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2</w:t>
            </w:r>
            <w:r w:rsidRPr="00296604">
              <w:rPr>
                <w:rFonts w:eastAsia="宋体" w:cs="Times New Roman"/>
                <w:color w:val="000000" w:themeColor="text1"/>
              </w:rPr>
              <w:t>98</w:t>
            </w:r>
          </w:p>
        </w:tc>
        <w:tc>
          <w:tcPr>
            <w:tcW w:w="1353" w:type="dxa"/>
          </w:tcPr>
          <w:p w14:paraId="6681F0BB" w14:textId="40C167AC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noProof/>
                <w:color w:val="000000" w:themeColor="text1"/>
              </w:rPr>
              <w:t>[</w:t>
            </w:r>
            <w:r w:rsidR="0019273E">
              <w:rPr>
                <w:rFonts w:eastAsia="宋体" w:cs="Times New Roman"/>
                <w:noProof/>
                <w:color w:val="000000" w:themeColor="text1"/>
              </w:rPr>
              <w:t>57</w:t>
            </w:r>
            <w:r w:rsidRPr="00296604">
              <w:rPr>
                <w:rFonts w:eastAsia="宋体" w:cs="Times New Roman"/>
                <w:noProof/>
                <w:color w:val="000000" w:themeColor="text1"/>
              </w:rPr>
              <w:t>]</w:t>
            </w:r>
          </w:p>
        </w:tc>
      </w:tr>
      <w:tr w:rsidR="00296604" w:rsidRPr="00296604" w14:paraId="4D9605C8" w14:textId="77777777" w:rsidTr="00296604">
        <w:tc>
          <w:tcPr>
            <w:tcW w:w="3865" w:type="dxa"/>
          </w:tcPr>
          <w:p w14:paraId="04A08D1D" w14:textId="7949C492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Textile sludge</w:t>
            </w:r>
            <w:r w:rsidR="00103563">
              <w:rPr>
                <w:rFonts w:eastAsia="宋体" w:cs="Times New Roman"/>
                <w:color w:val="000000" w:themeColor="text1"/>
              </w:rPr>
              <w:t>-</w:t>
            </w:r>
            <w:r w:rsidRPr="00296604">
              <w:rPr>
                <w:rFonts w:eastAsia="宋体" w:cs="Times New Roman"/>
                <w:color w:val="000000" w:themeColor="text1"/>
              </w:rPr>
              <w:t>sawdust chemically produced activated carbon</w:t>
            </w:r>
          </w:p>
        </w:tc>
        <w:tc>
          <w:tcPr>
            <w:tcW w:w="1662" w:type="dxa"/>
          </w:tcPr>
          <w:p w14:paraId="1E524863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530</w:t>
            </w:r>
          </w:p>
        </w:tc>
        <w:tc>
          <w:tcPr>
            <w:tcW w:w="1426" w:type="dxa"/>
          </w:tcPr>
          <w:p w14:paraId="55AFAFF1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298</w:t>
            </w:r>
          </w:p>
        </w:tc>
        <w:tc>
          <w:tcPr>
            <w:tcW w:w="1353" w:type="dxa"/>
          </w:tcPr>
          <w:p w14:paraId="4FFD904F" w14:textId="7484F5B6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noProof/>
                <w:color w:val="000000" w:themeColor="text1"/>
              </w:rPr>
              <w:t>[</w:t>
            </w:r>
            <w:r w:rsidR="0019273E">
              <w:rPr>
                <w:rFonts w:eastAsia="宋体" w:cs="Times New Roman"/>
                <w:noProof/>
                <w:color w:val="000000" w:themeColor="text1"/>
              </w:rPr>
              <w:t>58</w:t>
            </w:r>
            <w:r w:rsidRPr="00296604">
              <w:rPr>
                <w:rFonts w:eastAsia="宋体" w:cs="Times New Roman"/>
                <w:noProof/>
                <w:color w:val="000000" w:themeColor="text1"/>
              </w:rPr>
              <w:t>]</w:t>
            </w:r>
          </w:p>
        </w:tc>
      </w:tr>
      <w:tr w:rsidR="00296604" w:rsidRPr="00296604" w14:paraId="0D621837" w14:textId="77777777" w:rsidTr="00296604">
        <w:tc>
          <w:tcPr>
            <w:tcW w:w="3865" w:type="dxa"/>
          </w:tcPr>
          <w:p w14:paraId="0F68B6C1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/>
                <w:color w:val="000000" w:themeColor="text1"/>
              </w:rPr>
              <w:t>NA-KP</w:t>
            </w:r>
          </w:p>
        </w:tc>
        <w:tc>
          <w:tcPr>
            <w:tcW w:w="1662" w:type="dxa"/>
          </w:tcPr>
          <w:p w14:paraId="3F37CF92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5</w:t>
            </w:r>
            <w:r w:rsidRPr="00296604">
              <w:rPr>
                <w:rFonts w:eastAsia="宋体" w:cs="Times New Roman"/>
                <w:color w:val="000000" w:themeColor="text1"/>
              </w:rPr>
              <w:t>80.61</w:t>
            </w:r>
          </w:p>
        </w:tc>
        <w:tc>
          <w:tcPr>
            <w:tcW w:w="1426" w:type="dxa"/>
          </w:tcPr>
          <w:p w14:paraId="5B22FC7D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298</w:t>
            </w:r>
          </w:p>
        </w:tc>
        <w:tc>
          <w:tcPr>
            <w:tcW w:w="1353" w:type="dxa"/>
          </w:tcPr>
          <w:p w14:paraId="683D2930" w14:textId="77777777" w:rsidR="00296604" w:rsidRPr="00296604" w:rsidRDefault="00296604" w:rsidP="00296604">
            <w:pPr>
              <w:widowControl/>
              <w:spacing w:line="360" w:lineRule="auto"/>
              <w:rPr>
                <w:rFonts w:eastAsia="宋体" w:cs="Times New Roman"/>
                <w:color w:val="000000" w:themeColor="text1"/>
              </w:rPr>
            </w:pPr>
            <w:r w:rsidRPr="00296604">
              <w:rPr>
                <w:rFonts w:eastAsia="宋体" w:cs="Times New Roman" w:hint="eastAsia"/>
                <w:color w:val="000000" w:themeColor="text1"/>
              </w:rPr>
              <w:t>This work</w:t>
            </w:r>
          </w:p>
        </w:tc>
      </w:tr>
    </w:tbl>
    <w:p w14:paraId="5D8888BC" w14:textId="77777777" w:rsidR="00BC08C7" w:rsidRPr="00296604" w:rsidRDefault="00BC08C7"/>
    <w:sectPr w:rsidR="00BC08C7" w:rsidRPr="00296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15406" w14:textId="77777777" w:rsidR="001B3964" w:rsidRDefault="001B3964" w:rsidP="0019273E">
      <w:r>
        <w:separator/>
      </w:r>
    </w:p>
  </w:endnote>
  <w:endnote w:type="continuationSeparator" w:id="0">
    <w:p w14:paraId="39609341" w14:textId="77777777" w:rsidR="001B3964" w:rsidRDefault="001B3964" w:rsidP="0019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B6494" w14:textId="77777777" w:rsidR="001B3964" w:rsidRDefault="001B3964" w:rsidP="0019273E">
      <w:r>
        <w:separator/>
      </w:r>
    </w:p>
  </w:footnote>
  <w:footnote w:type="continuationSeparator" w:id="0">
    <w:p w14:paraId="1CE8B9AC" w14:textId="77777777" w:rsidR="001B3964" w:rsidRDefault="001B3964" w:rsidP="00192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6B92"/>
    <w:multiLevelType w:val="hybridMultilevel"/>
    <w:tmpl w:val="AF3412EC"/>
    <w:lvl w:ilvl="0" w:tplc="C44AE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296604"/>
    <w:rsid w:val="00103563"/>
    <w:rsid w:val="0019273E"/>
    <w:rsid w:val="001952C4"/>
    <w:rsid w:val="001B3964"/>
    <w:rsid w:val="00296604"/>
    <w:rsid w:val="00297998"/>
    <w:rsid w:val="004C1FFD"/>
    <w:rsid w:val="006770AB"/>
    <w:rsid w:val="00BC08C7"/>
    <w:rsid w:val="00CC1A6F"/>
    <w:rsid w:val="00D75C79"/>
    <w:rsid w:val="00DA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6A7935"/>
  <w15:chartTrackingRefBased/>
  <w15:docId w15:val="{0F1511B6-2F3E-48E5-B11D-6FDA4F26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6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66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6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6604"/>
    <w:rPr>
      <w:sz w:val="18"/>
      <w:szCs w:val="18"/>
    </w:rPr>
  </w:style>
  <w:style w:type="paragraph" w:customStyle="1" w:styleId="BATitle">
    <w:name w:val="BA_Title"/>
    <w:basedOn w:val="a"/>
    <w:next w:val="a"/>
    <w:rsid w:val="00296604"/>
    <w:pPr>
      <w:widowControl/>
      <w:spacing w:before="720" w:after="360" w:line="480" w:lineRule="auto"/>
      <w:jc w:val="center"/>
    </w:pPr>
    <w:rPr>
      <w:rFonts w:ascii="Times New Roman" w:hAnsi="Times New Roman" w:cs="Times New Roman"/>
      <w:kern w:val="0"/>
      <w:sz w:val="44"/>
      <w:szCs w:val="20"/>
      <w:lang w:eastAsia="en-US"/>
    </w:rPr>
  </w:style>
  <w:style w:type="table" w:styleId="a7">
    <w:name w:val="Table Grid"/>
    <w:basedOn w:val="a1"/>
    <w:uiPriority w:val="39"/>
    <w:rsid w:val="00296604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uiPriority w:val="39"/>
    <w:rsid w:val="00296604"/>
    <w:pPr>
      <w:spacing w:line="312" w:lineRule="auto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296604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296604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296604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296604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752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妍珺</dc:creator>
  <cp:keywords/>
  <dc:description/>
  <cp:lastModifiedBy>ZYJ</cp:lastModifiedBy>
  <cp:revision>3</cp:revision>
  <dcterms:created xsi:type="dcterms:W3CDTF">2023-06-27T16:08:00Z</dcterms:created>
  <dcterms:modified xsi:type="dcterms:W3CDTF">2023-07-05T02:58:00Z</dcterms:modified>
</cp:coreProperties>
</file>