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1593F0B" w14:textId="52209827" w:rsidR="00454049" w:rsidRPr="007F04F8" w:rsidRDefault="00454049" w:rsidP="00454049">
      <w:pPr>
        <w:pStyle w:val="MDPI12title"/>
        <w:jc w:val="center"/>
        <w:rPr>
          <w:color w:val="000000" w:themeColor="text1"/>
        </w:rPr>
      </w:pPr>
      <w:r w:rsidRPr="007F04F8">
        <w:rPr>
          <w:color w:val="000000" w:themeColor="text1"/>
        </w:rPr>
        <w:t>Supplementary Materials</w:t>
      </w:r>
    </w:p>
    <w:p w14:paraId="30D5815D" w14:textId="09D0910C" w:rsidR="00454049" w:rsidRPr="007F04F8" w:rsidRDefault="00454049" w:rsidP="00454049">
      <w:pPr>
        <w:pStyle w:val="MDPI12title"/>
        <w:rPr>
          <w:color w:val="000000" w:themeColor="text1"/>
        </w:rPr>
      </w:pPr>
      <w:r w:rsidRPr="007F04F8">
        <w:rPr>
          <w:color w:val="000000" w:themeColor="text1"/>
        </w:rPr>
        <w:t xml:space="preserve">Unraveling Bonding Mechanisms and Electronic Structure of Pyridine Oximes on </w:t>
      </w:r>
      <w:proofErr w:type="gramStart"/>
      <w:r w:rsidRPr="007F04F8">
        <w:rPr>
          <w:color w:val="000000" w:themeColor="text1"/>
        </w:rPr>
        <w:t>Fe(</w:t>
      </w:r>
      <w:proofErr w:type="gramEnd"/>
      <w:r w:rsidRPr="007F04F8">
        <w:rPr>
          <w:color w:val="000000" w:themeColor="text1"/>
        </w:rPr>
        <w:t xml:space="preserve">110) Surface: Deeper Insights from DFT, Molecular Dynamics and SCC-DFT Tight Binding </w:t>
      </w:r>
      <w:r w:rsidRPr="007F04F8">
        <w:rPr>
          <w:color w:val="000000" w:themeColor="text1"/>
        </w:rPr>
        <w:br/>
        <w:t>Simulations</w:t>
      </w:r>
    </w:p>
    <w:p w14:paraId="079A3C6D" w14:textId="54791274" w:rsidR="001C60C0" w:rsidRPr="007F04F8" w:rsidRDefault="001C60C0" w:rsidP="001C60C0">
      <w:pPr>
        <w:pStyle w:val="MDPI13authornames"/>
        <w:rPr>
          <w:color w:val="000000" w:themeColor="text1"/>
        </w:rPr>
      </w:pPr>
      <w:proofErr w:type="spellStart"/>
      <w:r w:rsidRPr="007F04F8">
        <w:rPr>
          <w:color w:val="000000" w:themeColor="text1"/>
        </w:rPr>
        <w:t>Hassane</w:t>
      </w:r>
      <w:proofErr w:type="spellEnd"/>
      <w:r w:rsidRPr="007F04F8">
        <w:rPr>
          <w:color w:val="000000" w:themeColor="text1"/>
        </w:rPr>
        <w:t xml:space="preserve"> </w:t>
      </w:r>
      <w:proofErr w:type="spellStart"/>
      <w:r w:rsidRPr="007F04F8">
        <w:rPr>
          <w:color w:val="000000" w:themeColor="text1"/>
        </w:rPr>
        <w:t>Lgaz</w:t>
      </w:r>
      <w:proofErr w:type="spellEnd"/>
      <w:r w:rsidRPr="007F04F8">
        <w:rPr>
          <w:color w:val="000000" w:themeColor="text1"/>
        </w:rPr>
        <w:t xml:space="preserve"> </w:t>
      </w:r>
      <w:r w:rsidRPr="007F04F8">
        <w:rPr>
          <w:color w:val="000000" w:themeColor="text1"/>
          <w:vertAlign w:val="superscript"/>
        </w:rPr>
        <w:t>1</w:t>
      </w:r>
      <w:r w:rsidRPr="007F04F8">
        <w:rPr>
          <w:color w:val="000000" w:themeColor="text1"/>
        </w:rPr>
        <w:t>, Han-</w:t>
      </w:r>
      <w:proofErr w:type="spellStart"/>
      <w:r w:rsidRPr="007F04F8">
        <w:rPr>
          <w:color w:val="000000" w:themeColor="text1"/>
        </w:rPr>
        <w:t>seung</w:t>
      </w:r>
      <w:proofErr w:type="spellEnd"/>
      <w:r w:rsidRPr="007F04F8">
        <w:rPr>
          <w:color w:val="000000" w:themeColor="text1"/>
        </w:rPr>
        <w:t xml:space="preserve"> Lee </w:t>
      </w:r>
      <w:proofErr w:type="gramStart"/>
      <w:r w:rsidRPr="007F04F8">
        <w:rPr>
          <w:color w:val="000000" w:themeColor="text1"/>
          <w:vertAlign w:val="superscript"/>
        </w:rPr>
        <w:t>2,*</w:t>
      </w:r>
      <w:proofErr w:type="gramEnd"/>
      <w:r w:rsidRPr="007F04F8">
        <w:rPr>
          <w:color w:val="000000" w:themeColor="text1"/>
        </w:rPr>
        <w:t xml:space="preserve">, </w:t>
      </w:r>
      <w:proofErr w:type="spellStart"/>
      <w:r w:rsidRPr="007F04F8">
        <w:rPr>
          <w:color w:val="000000" w:themeColor="text1"/>
          <w:lang w:val="en-GB"/>
        </w:rPr>
        <w:t>Savaş</w:t>
      </w:r>
      <w:proofErr w:type="spellEnd"/>
      <w:r w:rsidRPr="007F04F8">
        <w:rPr>
          <w:color w:val="000000" w:themeColor="text1"/>
          <w:lang w:val="en-GB"/>
        </w:rPr>
        <w:t xml:space="preserve"> Kaya </w:t>
      </w:r>
      <w:r w:rsidRPr="007F04F8">
        <w:rPr>
          <w:color w:val="000000" w:themeColor="text1"/>
          <w:vertAlign w:val="superscript"/>
          <w:lang w:val="en-GB"/>
        </w:rPr>
        <w:t>3</w:t>
      </w:r>
      <w:r w:rsidRPr="007F04F8">
        <w:rPr>
          <w:color w:val="000000" w:themeColor="text1"/>
        </w:rPr>
        <w:t>, Rachid Salghi</w:t>
      </w:r>
      <w:r w:rsidRPr="007F04F8">
        <w:rPr>
          <w:color w:val="000000" w:themeColor="text1"/>
          <w:vertAlign w:val="superscript"/>
        </w:rPr>
        <w:t>4,5</w:t>
      </w:r>
      <w:r w:rsidRPr="007F04F8">
        <w:rPr>
          <w:color w:val="000000" w:themeColor="text1"/>
        </w:rPr>
        <w:t xml:space="preserve">, </w:t>
      </w:r>
      <w:proofErr w:type="spellStart"/>
      <w:r w:rsidRPr="007F04F8">
        <w:rPr>
          <w:color w:val="000000" w:themeColor="text1"/>
          <w:lang w:val="en-GB"/>
        </w:rPr>
        <w:t>Sobhy</w:t>
      </w:r>
      <w:proofErr w:type="spellEnd"/>
      <w:r w:rsidRPr="007F04F8">
        <w:rPr>
          <w:color w:val="000000" w:themeColor="text1"/>
          <w:lang w:val="en-GB"/>
        </w:rPr>
        <w:t xml:space="preserve"> M. Ibrahim </w:t>
      </w:r>
      <w:r w:rsidRPr="007F04F8">
        <w:rPr>
          <w:color w:val="000000" w:themeColor="text1"/>
          <w:vertAlign w:val="superscript"/>
          <w:lang w:val="en-GB"/>
        </w:rPr>
        <w:t>6</w:t>
      </w:r>
      <w:r w:rsidRPr="007F04F8">
        <w:rPr>
          <w:color w:val="000000" w:themeColor="text1"/>
          <w:lang w:val="en-GB"/>
        </w:rPr>
        <w:t xml:space="preserve">, </w:t>
      </w:r>
      <w:r w:rsidR="00454049" w:rsidRPr="007F04F8">
        <w:rPr>
          <w:color w:val="000000" w:themeColor="text1"/>
          <w:lang w:val="en-GB"/>
        </w:rPr>
        <w:br/>
      </w:r>
      <w:r w:rsidRPr="007F04F8">
        <w:rPr>
          <w:color w:val="000000" w:themeColor="text1"/>
        </w:rPr>
        <w:t xml:space="preserve">Maryam </w:t>
      </w:r>
      <w:proofErr w:type="spellStart"/>
      <w:r w:rsidRPr="007F04F8">
        <w:rPr>
          <w:color w:val="000000" w:themeColor="text1"/>
        </w:rPr>
        <w:t>Chafiq</w:t>
      </w:r>
      <w:proofErr w:type="spellEnd"/>
      <w:r w:rsidRPr="007F04F8">
        <w:rPr>
          <w:color w:val="000000" w:themeColor="text1"/>
        </w:rPr>
        <w:t xml:space="preserve"> </w:t>
      </w:r>
      <w:r w:rsidRPr="007F04F8">
        <w:rPr>
          <w:color w:val="000000" w:themeColor="text1"/>
          <w:vertAlign w:val="superscript"/>
        </w:rPr>
        <w:t>7,*</w:t>
      </w:r>
      <w:r w:rsidRPr="007F04F8">
        <w:rPr>
          <w:color w:val="000000" w:themeColor="text1"/>
        </w:rPr>
        <w:t>, Lahcen Bazzi</w:t>
      </w:r>
      <w:r w:rsidRPr="007F04F8">
        <w:rPr>
          <w:color w:val="000000" w:themeColor="text1"/>
          <w:vertAlign w:val="superscript"/>
        </w:rPr>
        <w:t>5</w:t>
      </w:r>
      <w:r w:rsidR="00454049" w:rsidRPr="007F04F8">
        <w:rPr>
          <w:color w:val="000000" w:themeColor="text1"/>
        </w:rPr>
        <w:t xml:space="preserve"> and</w:t>
      </w:r>
      <w:r w:rsidRPr="007F04F8">
        <w:rPr>
          <w:color w:val="000000" w:themeColor="text1"/>
        </w:rPr>
        <w:t xml:space="preserve"> Young Gun Ko </w:t>
      </w:r>
      <w:r w:rsidRPr="007F04F8">
        <w:rPr>
          <w:color w:val="000000" w:themeColor="text1"/>
          <w:vertAlign w:val="superscript"/>
        </w:rPr>
        <w:t>7,*</w:t>
      </w:r>
      <w:r w:rsidRPr="007F04F8">
        <w:rPr>
          <w:color w:val="000000" w:themeColor="text1"/>
        </w:rPr>
        <w:t xml:space="preserve"> </w:t>
      </w:r>
    </w:p>
    <w:p w14:paraId="19A401FC" w14:textId="189EB973" w:rsidR="001C60C0" w:rsidRPr="007F04F8" w:rsidRDefault="001C60C0" w:rsidP="001C60C0">
      <w:pPr>
        <w:pStyle w:val="MDPI16affiliation"/>
        <w:rPr>
          <w:color w:val="000000" w:themeColor="text1"/>
        </w:rPr>
      </w:pPr>
      <w:r w:rsidRPr="007F04F8">
        <w:rPr>
          <w:color w:val="000000" w:themeColor="text1"/>
          <w:vertAlign w:val="superscript"/>
        </w:rPr>
        <w:t>1</w:t>
      </w:r>
      <w:r w:rsidRPr="007F04F8">
        <w:rPr>
          <w:color w:val="000000" w:themeColor="text1"/>
        </w:rPr>
        <w:tab/>
        <w:t>Innovative Durable Building and Infrastructure Research Center, Center for Creative Convergence Ed-</w:t>
      </w:r>
      <w:proofErr w:type="spellStart"/>
      <w:r w:rsidRPr="007F04F8">
        <w:rPr>
          <w:color w:val="000000" w:themeColor="text1"/>
        </w:rPr>
        <w:t>ucation</w:t>
      </w:r>
      <w:proofErr w:type="spellEnd"/>
      <w:r w:rsidRPr="007F04F8">
        <w:rPr>
          <w:color w:val="000000" w:themeColor="text1"/>
        </w:rPr>
        <w:t xml:space="preserve">, </w:t>
      </w:r>
      <w:proofErr w:type="spellStart"/>
      <w:r w:rsidRPr="007F04F8">
        <w:rPr>
          <w:color w:val="000000" w:themeColor="text1"/>
        </w:rPr>
        <w:t>Hanyang</w:t>
      </w:r>
      <w:proofErr w:type="spellEnd"/>
      <w:r w:rsidRPr="007F04F8">
        <w:rPr>
          <w:color w:val="000000" w:themeColor="text1"/>
        </w:rPr>
        <w:t xml:space="preserve"> University ERICA, 55 </w:t>
      </w:r>
      <w:proofErr w:type="spellStart"/>
      <w:r w:rsidRPr="007F04F8">
        <w:rPr>
          <w:color w:val="000000" w:themeColor="text1"/>
        </w:rPr>
        <w:t>Hanyangdaehak-ro</w:t>
      </w:r>
      <w:proofErr w:type="spellEnd"/>
      <w:r w:rsidRPr="007F04F8">
        <w:rPr>
          <w:color w:val="000000" w:themeColor="text1"/>
        </w:rPr>
        <w:t xml:space="preserve">, </w:t>
      </w:r>
      <w:proofErr w:type="spellStart"/>
      <w:r w:rsidRPr="007F04F8">
        <w:rPr>
          <w:color w:val="000000" w:themeColor="text1"/>
        </w:rPr>
        <w:t>Sangrok-gu</w:t>
      </w:r>
      <w:proofErr w:type="spellEnd"/>
      <w:r w:rsidRPr="007F04F8">
        <w:rPr>
          <w:color w:val="000000" w:themeColor="text1"/>
        </w:rPr>
        <w:t xml:space="preserve">, </w:t>
      </w:r>
      <w:proofErr w:type="spellStart"/>
      <w:r w:rsidRPr="007F04F8">
        <w:rPr>
          <w:color w:val="000000" w:themeColor="text1"/>
        </w:rPr>
        <w:t>Ansan-si</w:t>
      </w:r>
      <w:proofErr w:type="spellEnd"/>
      <w:r w:rsidRPr="007F04F8">
        <w:rPr>
          <w:color w:val="000000" w:themeColor="text1"/>
        </w:rPr>
        <w:t>, Gyeonggi-do 15588, South Korea</w:t>
      </w:r>
    </w:p>
    <w:p w14:paraId="43ECDFB6" w14:textId="7CECCA34" w:rsidR="001C60C0" w:rsidRPr="007F04F8" w:rsidRDefault="001C60C0" w:rsidP="001C60C0">
      <w:pPr>
        <w:pStyle w:val="MDPI16affiliation"/>
        <w:rPr>
          <w:color w:val="000000" w:themeColor="text1"/>
        </w:rPr>
      </w:pPr>
      <w:r w:rsidRPr="007F04F8">
        <w:rPr>
          <w:color w:val="000000" w:themeColor="text1"/>
          <w:vertAlign w:val="superscript"/>
        </w:rPr>
        <w:t>2</w:t>
      </w:r>
      <w:r w:rsidRPr="007F04F8">
        <w:rPr>
          <w:color w:val="000000" w:themeColor="text1"/>
        </w:rPr>
        <w:tab/>
        <w:t xml:space="preserve">Department of Architectural Engineering, </w:t>
      </w:r>
      <w:proofErr w:type="spellStart"/>
      <w:r w:rsidRPr="007F04F8">
        <w:rPr>
          <w:color w:val="000000" w:themeColor="text1"/>
        </w:rPr>
        <w:t>Hanyang</w:t>
      </w:r>
      <w:proofErr w:type="spellEnd"/>
      <w:r w:rsidRPr="007F04F8">
        <w:rPr>
          <w:color w:val="000000" w:themeColor="text1"/>
        </w:rPr>
        <w:t xml:space="preserve"> University-ERICA, 55 </w:t>
      </w:r>
      <w:proofErr w:type="spellStart"/>
      <w:r w:rsidRPr="007F04F8">
        <w:rPr>
          <w:color w:val="000000" w:themeColor="text1"/>
        </w:rPr>
        <w:t>Hanyangdaehak-ro</w:t>
      </w:r>
      <w:proofErr w:type="spellEnd"/>
      <w:r w:rsidRPr="007F04F8">
        <w:rPr>
          <w:color w:val="000000" w:themeColor="text1"/>
        </w:rPr>
        <w:t>, San-grok-</w:t>
      </w:r>
      <w:proofErr w:type="spellStart"/>
      <w:r w:rsidRPr="007F04F8">
        <w:rPr>
          <w:color w:val="000000" w:themeColor="text1"/>
        </w:rPr>
        <w:t>gu</w:t>
      </w:r>
      <w:proofErr w:type="spellEnd"/>
      <w:r w:rsidRPr="007F04F8">
        <w:rPr>
          <w:color w:val="000000" w:themeColor="text1"/>
        </w:rPr>
        <w:t xml:space="preserve">, </w:t>
      </w:r>
      <w:proofErr w:type="spellStart"/>
      <w:r w:rsidRPr="007F04F8">
        <w:rPr>
          <w:color w:val="000000" w:themeColor="text1"/>
        </w:rPr>
        <w:t>Ansan-si</w:t>
      </w:r>
      <w:proofErr w:type="spellEnd"/>
      <w:r w:rsidRPr="007F04F8">
        <w:rPr>
          <w:color w:val="000000" w:themeColor="text1"/>
        </w:rPr>
        <w:t>, Gyeonggi-do 15588, Republic of Korea</w:t>
      </w:r>
    </w:p>
    <w:p w14:paraId="714F27AD" w14:textId="36F45E07" w:rsidR="001C60C0" w:rsidRPr="007F04F8" w:rsidRDefault="001C60C0" w:rsidP="001C60C0">
      <w:pPr>
        <w:pStyle w:val="MDPI16affiliation"/>
        <w:rPr>
          <w:color w:val="000000" w:themeColor="text1"/>
        </w:rPr>
      </w:pPr>
      <w:r w:rsidRPr="007F04F8">
        <w:rPr>
          <w:color w:val="000000" w:themeColor="text1"/>
          <w:vertAlign w:val="superscript"/>
        </w:rPr>
        <w:t>3</w:t>
      </w:r>
      <w:r w:rsidRPr="007F04F8">
        <w:rPr>
          <w:color w:val="000000" w:themeColor="text1"/>
        </w:rPr>
        <w:tab/>
      </w:r>
      <w:r w:rsidRPr="007F04F8">
        <w:rPr>
          <w:rFonts w:cs="Arial"/>
          <w:color w:val="000000" w:themeColor="text1"/>
          <w:lang w:val="en-GB"/>
        </w:rPr>
        <w:t>Sivas Cumhuriyet University, Health Services Vocational School, Department of Pharmacy, 58140, Sivas, Turkey</w:t>
      </w:r>
    </w:p>
    <w:p w14:paraId="04B1FA88" w14:textId="5592DA11" w:rsidR="001C60C0" w:rsidRPr="007F04F8" w:rsidRDefault="001C60C0" w:rsidP="001C60C0">
      <w:pPr>
        <w:pStyle w:val="MDPI16affiliation"/>
        <w:rPr>
          <w:color w:val="000000" w:themeColor="text1"/>
          <w:u w:val="single"/>
        </w:rPr>
      </w:pPr>
      <w:r w:rsidRPr="007F04F8">
        <w:rPr>
          <w:color w:val="000000" w:themeColor="text1"/>
          <w:vertAlign w:val="superscript"/>
        </w:rPr>
        <w:t xml:space="preserve">4 </w:t>
      </w:r>
      <w:r w:rsidRPr="007F04F8">
        <w:rPr>
          <w:color w:val="000000" w:themeColor="text1"/>
        </w:rPr>
        <w:tab/>
        <w:t xml:space="preserve">Laboratory of Applied Chemistry and Environment, ENSA, University Ibn </w:t>
      </w:r>
      <w:proofErr w:type="spellStart"/>
      <w:r w:rsidRPr="007F04F8">
        <w:rPr>
          <w:color w:val="000000" w:themeColor="text1"/>
        </w:rPr>
        <w:t>Zohr</w:t>
      </w:r>
      <w:proofErr w:type="spellEnd"/>
      <w:r w:rsidRPr="007F04F8">
        <w:rPr>
          <w:color w:val="000000" w:themeColor="text1"/>
        </w:rPr>
        <w:t>, PO Box 1136, Agadir 80000, Morocco</w:t>
      </w:r>
    </w:p>
    <w:p w14:paraId="0FAE3A87" w14:textId="77777777" w:rsidR="00454049" w:rsidRPr="007F04F8" w:rsidRDefault="001C60C0" w:rsidP="001C60C0">
      <w:pPr>
        <w:pStyle w:val="MDPI16affiliation"/>
        <w:rPr>
          <w:color w:val="000000" w:themeColor="text1"/>
        </w:rPr>
      </w:pPr>
      <w:r w:rsidRPr="007F04F8">
        <w:rPr>
          <w:color w:val="000000" w:themeColor="text1"/>
          <w:vertAlign w:val="superscript"/>
        </w:rPr>
        <w:t>5</w:t>
      </w:r>
      <w:r w:rsidRPr="007F04F8">
        <w:rPr>
          <w:color w:val="000000" w:themeColor="text1"/>
        </w:rPr>
        <w:tab/>
      </w:r>
      <w:proofErr w:type="spellStart"/>
      <w:r w:rsidRPr="007F04F8">
        <w:rPr>
          <w:color w:val="000000" w:themeColor="text1"/>
        </w:rPr>
        <w:t>Laboratoire</w:t>
      </w:r>
      <w:proofErr w:type="spellEnd"/>
      <w:r w:rsidRPr="007F04F8">
        <w:rPr>
          <w:color w:val="000000" w:themeColor="text1"/>
        </w:rPr>
        <w:t xml:space="preserve"> de </w:t>
      </w:r>
      <w:proofErr w:type="spellStart"/>
      <w:r w:rsidRPr="007F04F8">
        <w:rPr>
          <w:color w:val="000000" w:themeColor="text1"/>
        </w:rPr>
        <w:t>Génie</w:t>
      </w:r>
      <w:proofErr w:type="spellEnd"/>
      <w:r w:rsidRPr="007F04F8">
        <w:rPr>
          <w:color w:val="000000" w:themeColor="text1"/>
        </w:rPr>
        <w:t xml:space="preserve"> </w:t>
      </w:r>
      <w:proofErr w:type="spellStart"/>
      <w:r w:rsidRPr="007F04F8">
        <w:rPr>
          <w:color w:val="000000" w:themeColor="text1"/>
        </w:rPr>
        <w:t>Industriel</w:t>
      </w:r>
      <w:proofErr w:type="spellEnd"/>
      <w:r w:rsidRPr="007F04F8">
        <w:rPr>
          <w:color w:val="000000" w:themeColor="text1"/>
        </w:rPr>
        <w:t xml:space="preserve">, de </w:t>
      </w:r>
      <w:proofErr w:type="spellStart"/>
      <w:r w:rsidRPr="007F04F8">
        <w:rPr>
          <w:color w:val="000000" w:themeColor="text1"/>
        </w:rPr>
        <w:t>l'Énergétique</w:t>
      </w:r>
      <w:proofErr w:type="spellEnd"/>
      <w:r w:rsidRPr="007F04F8">
        <w:rPr>
          <w:color w:val="000000" w:themeColor="text1"/>
        </w:rPr>
        <w:t xml:space="preserve"> et de </w:t>
      </w:r>
      <w:proofErr w:type="spellStart"/>
      <w:r w:rsidRPr="007F04F8">
        <w:rPr>
          <w:color w:val="000000" w:themeColor="text1"/>
        </w:rPr>
        <w:t>l’Environnement</w:t>
      </w:r>
      <w:proofErr w:type="spellEnd"/>
      <w:r w:rsidRPr="007F04F8">
        <w:rPr>
          <w:color w:val="000000" w:themeColor="text1"/>
        </w:rPr>
        <w:t xml:space="preserve"> (LGI2E), </w:t>
      </w:r>
      <w:proofErr w:type="spellStart"/>
      <w:r w:rsidRPr="007F04F8">
        <w:rPr>
          <w:color w:val="000000" w:themeColor="text1"/>
        </w:rPr>
        <w:t>SupMTI</w:t>
      </w:r>
      <w:proofErr w:type="spellEnd"/>
      <w:r w:rsidRPr="007F04F8">
        <w:rPr>
          <w:color w:val="000000" w:themeColor="text1"/>
        </w:rPr>
        <w:t xml:space="preserve"> Rabat 10000 Morocco</w:t>
      </w:r>
    </w:p>
    <w:p w14:paraId="7BC1EF07" w14:textId="71AEAF95" w:rsidR="001C60C0" w:rsidRPr="007F04F8" w:rsidRDefault="001C60C0" w:rsidP="001C60C0">
      <w:pPr>
        <w:pStyle w:val="MDPI16affiliation"/>
        <w:rPr>
          <w:color w:val="000000" w:themeColor="text1"/>
        </w:rPr>
      </w:pPr>
      <w:r w:rsidRPr="007F04F8">
        <w:rPr>
          <w:color w:val="000000" w:themeColor="text1"/>
          <w:vertAlign w:val="superscript"/>
        </w:rPr>
        <w:t>6</w:t>
      </w:r>
      <w:r w:rsidRPr="007F04F8">
        <w:rPr>
          <w:color w:val="000000" w:themeColor="text1"/>
        </w:rPr>
        <w:tab/>
        <w:t>Department of Biochemistry, College of Science, King Saud University, P.O. Box 2455, Riyadh 11451, Saudi Arabia</w:t>
      </w:r>
    </w:p>
    <w:p w14:paraId="2421AAA6" w14:textId="77777777" w:rsidR="00454049" w:rsidRPr="007F04F8" w:rsidRDefault="001C60C0" w:rsidP="00454049">
      <w:pPr>
        <w:pStyle w:val="MDPI16affiliation"/>
        <w:rPr>
          <w:color w:val="000000" w:themeColor="text1"/>
        </w:rPr>
      </w:pPr>
      <w:r w:rsidRPr="007F04F8">
        <w:rPr>
          <w:color w:val="000000" w:themeColor="text1"/>
          <w:vertAlign w:val="superscript"/>
        </w:rPr>
        <w:t>7</w:t>
      </w:r>
      <w:r w:rsidRPr="007F04F8">
        <w:rPr>
          <w:color w:val="000000" w:themeColor="text1"/>
        </w:rPr>
        <w:tab/>
        <w:t xml:space="preserve">Materials Electrochemistry Group, School of Materials Science and Engineering, </w:t>
      </w:r>
      <w:proofErr w:type="spellStart"/>
      <w:r w:rsidRPr="007F04F8">
        <w:rPr>
          <w:color w:val="000000" w:themeColor="text1"/>
        </w:rPr>
        <w:t>Yeungnam</w:t>
      </w:r>
      <w:proofErr w:type="spellEnd"/>
      <w:r w:rsidRPr="007F04F8">
        <w:rPr>
          <w:color w:val="000000" w:themeColor="text1"/>
        </w:rPr>
        <w:t xml:space="preserve"> University, </w:t>
      </w:r>
      <w:proofErr w:type="spellStart"/>
      <w:r w:rsidRPr="007F04F8">
        <w:rPr>
          <w:color w:val="000000" w:themeColor="text1"/>
        </w:rPr>
        <w:t>Gyeongsan</w:t>
      </w:r>
      <w:proofErr w:type="spellEnd"/>
      <w:r w:rsidRPr="007F04F8">
        <w:rPr>
          <w:color w:val="000000" w:themeColor="text1"/>
        </w:rPr>
        <w:t xml:space="preserve"> 38541, South </w:t>
      </w:r>
      <w:proofErr w:type="gramStart"/>
      <w:r w:rsidRPr="007F04F8">
        <w:rPr>
          <w:color w:val="000000" w:themeColor="text1"/>
        </w:rPr>
        <w:t>Korea;</w:t>
      </w:r>
      <w:proofErr w:type="gramEnd"/>
      <w:r w:rsidRPr="007F04F8">
        <w:rPr>
          <w:color w:val="000000" w:themeColor="text1"/>
        </w:rPr>
        <w:t xml:space="preserve"> </w:t>
      </w:r>
    </w:p>
    <w:p w14:paraId="5C2F4875" w14:textId="3A9C7B52" w:rsidR="00454049" w:rsidRPr="007F04F8" w:rsidRDefault="001C60C0" w:rsidP="00454049">
      <w:pPr>
        <w:pStyle w:val="MDPI16affiliation"/>
        <w:rPr>
          <w:color w:val="000000" w:themeColor="text1"/>
        </w:rPr>
      </w:pPr>
      <w:r w:rsidRPr="007F04F8">
        <w:rPr>
          <w:b/>
          <w:color w:val="000000" w:themeColor="text1"/>
        </w:rPr>
        <w:t>*</w:t>
      </w:r>
      <w:r w:rsidR="00454049" w:rsidRPr="007F04F8">
        <w:rPr>
          <w:b/>
          <w:color w:val="000000" w:themeColor="text1"/>
        </w:rPr>
        <w:tab/>
      </w:r>
      <w:r w:rsidRPr="007F04F8">
        <w:rPr>
          <w:color w:val="000000" w:themeColor="text1"/>
        </w:rPr>
        <w:t>Correspondence: ercleehs@hanyang.ac.kr (H-S. L.); maryam.chafiq@yu.ac.kr (M.C.); younggun@yu.ac.kr (Y.G.K.)</w:t>
      </w:r>
    </w:p>
    <w:p w14:paraId="23CA65B5" w14:textId="77777777" w:rsidR="00454049" w:rsidRPr="007F04F8" w:rsidRDefault="00454049">
      <w:pPr>
        <w:spacing w:after="160" w:line="259" w:lineRule="auto"/>
        <w:jc w:val="left"/>
        <w:rPr>
          <w:rFonts w:eastAsia="Times New Roman"/>
          <w:noProof w:val="0"/>
          <w:color w:val="000000" w:themeColor="text1"/>
          <w:sz w:val="16"/>
          <w:szCs w:val="18"/>
          <w:lang w:eastAsia="de-DE" w:bidi="en-US"/>
        </w:rPr>
      </w:pPr>
      <w:r w:rsidRPr="007F04F8">
        <w:rPr>
          <w:color w:val="000000" w:themeColor="text1"/>
        </w:rPr>
        <w:br w:type="page"/>
      </w:r>
    </w:p>
    <w:p w14:paraId="2351F093" w14:textId="7CE163EB" w:rsidR="00A5797C" w:rsidRPr="007F04F8" w:rsidRDefault="00BC15B1" w:rsidP="00BB5FDB">
      <w:pPr>
        <w:pStyle w:val="MDPI31text"/>
        <w:spacing w:before="240" w:after="60"/>
        <w:ind w:left="0" w:firstLine="0"/>
        <w:jc w:val="left"/>
        <w:outlineLvl w:val="0"/>
        <w:rPr>
          <w:color w:val="000000" w:themeColor="text1"/>
        </w:rPr>
      </w:pPr>
      <w:r w:rsidRPr="007F04F8">
        <w:rPr>
          <w:color w:val="000000" w:themeColor="text1"/>
        </w:rPr>
        <w:lastRenderedPageBreak/>
        <w:t>S1</w:t>
      </w:r>
      <w:r w:rsidR="00A5797C" w:rsidRPr="007F04F8">
        <w:rPr>
          <w:color w:val="000000" w:themeColor="text1"/>
        </w:rPr>
        <w:t>. Quantum chemical calculations</w:t>
      </w:r>
    </w:p>
    <w:p w14:paraId="1986FDD6" w14:textId="04CF2063" w:rsidR="00A5797C" w:rsidRPr="007F04F8" w:rsidRDefault="00BC15B1" w:rsidP="00BB5FDB">
      <w:pPr>
        <w:pStyle w:val="MDPI23heading3"/>
        <w:ind w:left="0"/>
        <w:rPr>
          <w:color w:val="000000" w:themeColor="text1"/>
        </w:rPr>
      </w:pPr>
      <w:r w:rsidRPr="007F04F8">
        <w:rPr>
          <w:color w:val="000000" w:themeColor="text1"/>
        </w:rPr>
        <w:t>S1.1</w:t>
      </w:r>
      <w:r w:rsidR="00A5797C" w:rsidRPr="007F04F8">
        <w:rPr>
          <w:color w:val="000000" w:themeColor="text1"/>
        </w:rPr>
        <w:t>. Global reactivity descriptors</w:t>
      </w:r>
    </w:p>
    <w:p w14:paraId="2CDD90CD" w14:textId="64861CDA" w:rsidR="00454049" w:rsidRPr="007F04F8" w:rsidRDefault="00A5797C" w:rsidP="00BB5FDB">
      <w:pPr>
        <w:pStyle w:val="MDPI31text"/>
        <w:ind w:left="0" w:firstLine="720"/>
        <w:rPr>
          <w:color w:val="000000" w:themeColor="text1"/>
        </w:rPr>
      </w:pPr>
      <w:r w:rsidRPr="007F04F8">
        <w:rPr>
          <w:color w:val="000000" w:themeColor="text1"/>
        </w:rPr>
        <w:t xml:space="preserve">Quantum chemical calculations can complete our understanding on the adsorption characteristics of pyridine oximes under study. It can also reveal some structural and electronic features that would explain reasons behind the outstanding adsorption property of 3POH molecules compared to 2POH. Global reactivity descriptors such as the highest occupied molecular orbitals (HOMO), the lowest unoccupied molecular orbitals (LUMO), energy gap, ionization energy, electron affinity and fraction of transferred electrons can provide a way to assess the reactivity of individual molecules, making it easy to know their electronic features without external perturbation </w:t>
      </w:r>
      <w:r w:rsidR="00BC15B1" w:rsidRPr="007F04F8">
        <w:rPr>
          <w:color w:val="000000" w:themeColor="text1"/>
        </w:rPr>
        <w:t>[</w:t>
      </w:r>
      <w:r w:rsidR="0071299E" w:rsidRPr="007F04F8">
        <w:rPr>
          <w:color w:val="000000" w:themeColor="text1"/>
        </w:rPr>
        <w:t>18</w:t>
      </w:r>
      <w:r w:rsidR="00BC15B1" w:rsidRPr="007F04F8">
        <w:rPr>
          <w:color w:val="000000" w:themeColor="text1"/>
        </w:rPr>
        <w:t>]</w:t>
      </w:r>
      <w:r w:rsidRPr="007F04F8">
        <w:rPr>
          <w:color w:val="000000" w:themeColor="text1"/>
        </w:rPr>
        <w:t xml:space="preserve">. Before discussing numerical values of quantum chemical parameters listed in Table </w:t>
      </w:r>
      <w:r w:rsidR="00BC15B1" w:rsidRPr="007F04F8">
        <w:rPr>
          <w:color w:val="000000" w:themeColor="text1"/>
        </w:rPr>
        <w:t>S1</w:t>
      </w:r>
      <w:r w:rsidRPr="007F04F8">
        <w:rPr>
          <w:color w:val="000000" w:themeColor="text1"/>
        </w:rPr>
        <w:t xml:space="preserve">, it would be interesting to investigate the iso-surface maps of HOMO and LUMO of both neutral and protonated molecules depicted in Figure </w:t>
      </w:r>
      <w:r w:rsidR="00BC15B1" w:rsidRPr="007F04F8">
        <w:rPr>
          <w:color w:val="000000" w:themeColor="text1"/>
        </w:rPr>
        <w:t>S1</w:t>
      </w:r>
      <w:r w:rsidRPr="007F04F8">
        <w:rPr>
          <w:color w:val="000000" w:themeColor="text1"/>
        </w:rPr>
        <w:t xml:space="preserve"> and </w:t>
      </w:r>
      <w:r w:rsidR="00BC15B1" w:rsidRPr="007F04F8">
        <w:rPr>
          <w:color w:val="000000" w:themeColor="text1"/>
        </w:rPr>
        <w:t>S2</w:t>
      </w:r>
      <w:r w:rsidRPr="007F04F8">
        <w:rPr>
          <w:color w:val="000000" w:themeColor="text1"/>
        </w:rPr>
        <w:t xml:space="preserve">, respectively. HOMO and LUMO densities distribution reveal insights into the reactivity and chemical proprieties of molecules. The HOMO density distribution on a molecule or part of it indicates an electron-rich region where chemical reactions are likely to occur with other chemical species through electron donation </w:t>
      </w:r>
      <w:r w:rsidR="00BC15B1" w:rsidRPr="007F04F8">
        <w:rPr>
          <w:color w:val="000000" w:themeColor="text1"/>
        </w:rPr>
        <w:t>[</w:t>
      </w:r>
      <w:r w:rsidR="0071299E" w:rsidRPr="007F04F8">
        <w:rPr>
          <w:color w:val="000000" w:themeColor="text1"/>
        </w:rPr>
        <w:t>70</w:t>
      </w:r>
      <w:r w:rsidR="00BC15B1" w:rsidRPr="007F04F8">
        <w:rPr>
          <w:color w:val="000000" w:themeColor="text1"/>
        </w:rPr>
        <w:t>]</w:t>
      </w:r>
      <w:r w:rsidRPr="007F04F8">
        <w:rPr>
          <w:color w:val="000000" w:themeColor="text1"/>
        </w:rPr>
        <w:t xml:space="preserve">. On the other side, the LUMO density on a molecule or part of it indicates its tendency to accept electrons and undergo nucleophilic attack </w:t>
      </w:r>
      <w:r w:rsidR="00BC15B1" w:rsidRPr="007F04F8">
        <w:rPr>
          <w:color w:val="000000" w:themeColor="text1"/>
        </w:rPr>
        <w:t>[</w:t>
      </w:r>
      <w:r w:rsidR="0071299E" w:rsidRPr="007F04F8">
        <w:rPr>
          <w:color w:val="000000" w:themeColor="text1"/>
        </w:rPr>
        <w:t>71</w:t>
      </w:r>
      <w:r w:rsidR="00BC15B1" w:rsidRPr="007F04F8">
        <w:rPr>
          <w:color w:val="000000" w:themeColor="text1"/>
        </w:rPr>
        <w:t>]</w:t>
      </w:r>
      <w:r w:rsidRPr="007F04F8">
        <w:rPr>
          <w:color w:val="000000" w:themeColor="text1"/>
        </w:rPr>
        <w:t xml:space="preserve">. Looking at HOMO-LUMO maps of both neutral and protonated pyridine oxime molecules, it can be inferred that HOMO and LUMO densities are distributed over the entire molecular structures. It means that entire molecular structures could act as electron donating and/or electron accepting species when interacting with the metal surface. However, given the fact that it may be difficult for a molecule to </w:t>
      </w:r>
      <w:proofErr w:type="gramStart"/>
      <w:r w:rsidRPr="007F04F8">
        <w:rPr>
          <w:color w:val="000000" w:themeColor="text1"/>
        </w:rPr>
        <w:t>enter into</w:t>
      </w:r>
      <w:proofErr w:type="gramEnd"/>
      <w:r w:rsidRPr="007F04F8">
        <w:rPr>
          <w:color w:val="000000" w:themeColor="text1"/>
        </w:rPr>
        <w:t xml:space="preserve"> donor-acceptor interactions through its entire atomic sites, the HOMO-LUMO maps are confusing and cannot be used to distinguish between reactivity of investigated molecules. However, these maps can be represented in the form of energies, which would make them reasonably comparable.</w:t>
      </w:r>
    </w:p>
    <w:p w14:paraId="232DDD4C" w14:textId="77777777" w:rsidR="00A5797C" w:rsidRPr="007F04F8" w:rsidRDefault="00A5797C" w:rsidP="00454049">
      <w:pPr>
        <w:pStyle w:val="MDPI52figure"/>
        <w:rPr>
          <w:color w:val="000000" w:themeColor="text1"/>
        </w:rPr>
      </w:pPr>
      <w:r w:rsidRPr="007F04F8">
        <w:rPr>
          <w:noProof/>
          <w:color w:val="000000" w:themeColor="text1"/>
        </w:rPr>
        <w:drawing>
          <wp:inline distT="0" distB="0" distL="0" distR="0" wp14:anchorId="51FF5768" wp14:editId="528E6138">
            <wp:extent cx="6271260" cy="2921115"/>
            <wp:effectExtent l="0" t="0" r="0" b="0"/>
            <wp:docPr id="17" name="Picture 17" descr="A picture containing tree, table, indoor, woode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Picture 17" descr="A picture containing tree, table, indoor, wooden&#10;&#10;Description automatically generated"/>
                    <pic:cNvPicPr>
                      <a:picLocks noChangeAspect="1" noChangeArrowheads="1"/>
                    </pic:cNvPicPr>
                  </pic:nvPicPr>
                  <pic:blipFill>
                    <a:blip r:embed="rId6" cstate="print">
                      <a:extLst>
                        <a:ext uri="{28A0092B-C50C-407E-A947-70E740481C1C}">
                          <a14:useLocalDpi xmlns:a14="http://schemas.microsoft.com/office/drawing/2010/main" val="0"/>
                        </a:ext>
                      </a:extLst>
                    </a:blip>
                    <a:srcRect/>
                    <a:stretch>
                      <a:fillRect/>
                    </a:stretch>
                  </pic:blipFill>
                  <pic:spPr bwMode="auto">
                    <a:xfrm>
                      <a:off x="0" y="0"/>
                      <a:ext cx="6275979" cy="2923313"/>
                    </a:xfrm>
                    <a:prstGeom prst="rect">
                      <a:avLst/>
                    </a:prstGeom>
                    <a:noFill/>
                    <a:ln>
                      <a:noFill/>
                    </a:ln>
                  </pic:spPr>
                </pic:pic>
              </a:graphicData>
            </a:graphic>
          </wp:inline>
        </w:drawing>
      </w:r>
    </w:p>
    <w:p w14:paraId="66BEC2A2" w14:textId="5FB0086F" w:rsidR="00A5797C" w:rsidRPr="007F04F8" w:rsidRDefault="00454049" w:rsidP="00BB5FDB">
      <w:pPr>
        <w:pStyle w:val="MDPI51figurecaption"/>
        <w:ind w:left="0"/>
        <w:rPr>
          <w:color w:val="000000" w:themeColor="text1"/>
        </w:rPr>
      </w:pPr>
      <w:r w:rsidRPr="007F04F8">
        <w:rPr>
          <w:b/>
          <w:color w:val="000000" w:themeColor="text1"/>
        </w:rPr>
        <w:t xml:space="preserve">Figure S1. </w:t>
      </w:r>
      <w:r w:rsidR="00A5797C" w:rsidRPr="007F04F8">
        <w:rPr>
          <w:color w:val="000000" w:themeColor="text1"/>
        </w:rPr>
        <w:t>DFT-optimized molecular structures (a, d), HOMO (b, e) and LUMO (c, f) maps of neutral pyridine oxime molecules obtained by DFT/GGA method.</w:t>
      </w:r>
    </w:p>
    <w:p w14:paraId="3F3DAF4C" w14:textId="77777777" w:rsidR="00A5797C" w:rsidRPr="007F04F8" w:rsidRDefault="00A5797C" w:rsidP="00A5797C">
      <w:pPr>
        <w:pStyle w:val="MDPI52figure"/>
        <w:rPr>
          <w:color w:val="000000" w:themeColor="text1"/>
        </w:rPr>
      </w:pPr>
      <w:r w:rsidRPr="007F04F8">
        <w:rPr>
          <w:noProof/>
          <w:color w:val="000000" w:themeColor="text1"/>
        </w:rPr>
        <w:lastRenderedPageBreak/>
        <w:drawing>
          <wp:inline distT="0" distB="0" distL="0" distR="0" wp14:anchorId="7CAEB027" wp14:editId="4484CCF5">
            <wp:extent cx="6454140" cy="3006300"/>
            <wp:effectExtent l="0" t="0" r="3810" b="3810"/>
            <wp:docPr id="18" name="Picture 18" descr="A picture containing table, indoor, wooden, severa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Picture 18" descr="A picture containing table, indoor, wooden, several&#10;&#10;Description automatically generated"/>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456375" cy="3007341"/>
                    </a:xfrm>
                    <a:prstGeom prst="rect">
                      <a:avLst/>
                    </a:prstGeom>
                    <a:noFill/>
                    <a:ln>
                      <a:noFill/>
                    </a:ln>
                  </pic:spPr>
                </pic:pic>
              </a:graphicData>
            </a:graphic>
          </wp:inline>
        </w:drawing>
      </w:r>
    </w:p>
    <w:p w14:paraId="3C7AC669" w14:textId="67F2C707" w:rsidR="00A5797C" w:rsidRPr="007F04F8" w:rsidRDefault="00454049" w:rsidP="00BB5FDB">
      <w:pPr>
        <w:pStyle w:val="MDPI51figurecaption"/>
        <w:ind w:left="0"/>
        <w:rPr>
          <w:color w:val="000000" w:themeColor="text1"/>
        </w:rPr>
      </w:pPr>
      <w:r w:rsidRPr="007F04F8">
        <w:rPr>
          <w:b/>
          <w:color w:val="000000" w:themeColor="text1"/>
        </w:rPr>
        <w:t xml:space="preserve">Figure S2. </w:t>
      </w:r>
      <w:r w:rsidR="00A5797C" w:rsidRPr="007F04F8">
        <w:rPr>
          <w:color w:val="000000" w:themeColor="text1"/>
        </w:rPr>
        <w:t>DFT-optimized molecular structures (a, d), HOMO (b, e) and LUMO (c, f) maps of protonated pyridine oxime molecules obtained by DFT/GGA method.</w:t>
      </w:r>
    </w:p>
    <w:p w14:paraId="4D1A6EC7" w14:textId="236697D4" w:rsidR="00A5797C" w:rsidRPr="007F04F8" w:rsidRDefault="00A5797C" w:rsidP="00BB5FDB">
      <w:pPr>
        <w:pStyle w:val="MDPI31text"/>
        <w:ind w:left="0" w:firstLine="720"/>
        <w:rPr>
          <w:color w:val="000000" w:themeColor="text1"/>
        </w:rPr>
      </w:pPr>
      <w:r w:rsidRPr="007F04F8">
        <w:rPr>
          <w:color w:val="000000" w:themeColor="text1"/>
        </w:rPr>
        <w:t xml:space="preserve">In HOMO and LUMO energies, noted </w:t>
      </w:r>
      <w:r w:rsidRPr="007F04F8">
        <w:rPr>
          <w:i/>
          <w:iCs/>
          <w:color w:val="000000" w:themeColor="text1"/>
        </w:rPr>
        <w:t>E</w:t>
      </w:r>
      <w:r w:rsidRPr="007F04F8">
        <w:rPr>
          <w:color w:val="000000" w:themeColor="text1"/>
          <w:vertAlign w:val="subscript"/>
        </w:rPr>
        <w:t>HOMO</w:t>
      </w:r>
      <w:r w:rsidRPr="007F04F8">
        <w:rPr>
          <w:color w:val="000000" w:themeColor="text1"/>
        </w:rPr>
        <w:t xml:space="preserve"> and </w:t>
      </w:r>
      <w:r w:rsidRPr="007F04F8">
        <w:rPr>
          <w:i/>
          <w:iCs/>
          <w:color w:val="000000" w:themeColor="text1"/>
        </w:rPr>
        <w:t>E</w:t>
      </w:r>
      <w:r w:rsidRPr="007F04F8">
        <w:rPr>
          <w:color w:val="000000" w:themeColor="text1"/>
          <w:vertAlign w:val="subscript"/>
        </w:rPr>
        <w:t>LUMO</w:t>
      </w:r>
      <w:r w:rsidRPr="007F04F8">
        <w:rPr>
          <w:color w:val="000000" w:themeColor="text1"/>
        </w:rPr>
        <w:t xml:space="preserve">, respectively, the same assumptions are made. A molecule with a higher HOMO energy is assumed to exhibit a higher electron donating ability, while a lower LUMO energy indicates its tendency to accept electrons </w:t>
      </w:r>
      <w:r w:rsidR="00BC15B1" w:rsidRPr="007F04F8">
        <w:rPr>
          <w:color w:val="000000" w:themeColor="text1"/>
        </w:rPr>
        <w:t>[</w:t>
      </w:r>
      <w:r w:rsidR="0071299E" w:rsidRPr="007F04F8">
        <w:rPr>
          <w:color w:val="000000" w:themeColor="text1"/>
        </w:rPr>
        <w:t>71</w:t>
      </w:r>
      <w:r w:rsidR="00BC15B1" w:rsidRPr="007F04F8">
        <w:rPr>
          <w:color w:val="000000" w:themeColor="text1"/>
        </w:rPr>
        <w:t>]</w:t>
      </w:r>
      <w:r w:rsidRPr="007F04F8">
        <w:rPr>
          <w:color w:val="000000" w:themeColor="text1"/>
        </w:rPr>
        <w:t xml:space="preserve">. Close inspection of quantum chemical parameters in Table </w:t>
      </w:r>
      <w:r w:rsidR="00BC15B1" w:rsidRPr="007F04F8">
        <w:rPr>
          <w:color w:val="000000" w:themeColor="text1"/>
        </w:rPr>
        <w:t>S1</w:t>
      </w:r>
      <w:r w:rsidRPr="007F04F8">
        <w:rPr>
          <w:color w:val="000000" w:themeColor="text1"/>
        </w:rPr>
        <w:t xml:space="preserve"> shows that 3POH molecule exhibits a higher tendency to donate and accept electrons given its higher HOMO energy and lower LUMO energy values compared to 2POH molecule </w:t>
      </w:r>
      <w:r w:rsidR="00BC15B1" w:rsidRPr="007F04F8">
        <w:rPr>
          <w:color w:val="000000" w:themeColor="text1"/>
        </w:rPr>
        <w:t>[</w:t>
      </w:r>
      <w:r w:rsidR="0071299E" w:rsidRPr="007F04F8">
        <w:rPr>
          <w:color w:val="000000" w:themeColor="text1"/>
        </w:rPr>
        <w:t>71</w:t>
      </w:r>
      <w:r w:rsidR="00BC15B1" w:rsidRPr="007F04F8">
        <w:rPr>
          <w:color w:val="000000" w:themeColor="text1"/>
        </w:rPr>
        <w:t>]</w:t>
      </w:r>
      <w:r w:rsidRPr="007F04F8">
        <w:rPr>
          <w:color w:val="000000" w:themeColor="text1"/>
        </w:rPr>
        <w:t>. In the protonated forms, the 3POH molecule keeps the highest electron donating ability while its electron accepting tendency is reduced compared with 2POH</w:t>
      </w:r>
      <w:r w:rsidRPr="007F04F8">
        <w:rPr>
          <w:color w:val="000000" w:themeColor="text1"/>
          <w:vertAlign w:val="superscript"/>
        </w:rPr>
        <w:t>+</w:t>
      </w:r>
      <w:r w:rsidRPr="007F04F8">
        <w:rPr>
          <w:color w:val="000000" w:themeColor="text1"/>
        </w:rPr>
        <w:t xml:space="preserve"> molecule. But both molecules show enhanced electron accepting and reduced electron donating tendencies after protonation.</w:t>
      </w:r>
    </w:p>
    <w:p w14:paraId="0A18B0D2" w14:textId="53E941DB" w:rsidR="00A5797C" w:rsidRPr="007F04F8" w:rsidRDefault="00454049" w:rsidP="00BB5FDB">
      <w:pPr>
        <w:pStyle w:val="MDPI41tablecaption"/>
        <w:ind w:left="0"/>
        <w:rPr>
          <w:color w:val="000000" w:themeColor="text1"/>
        </w:rPr>
      </w:pPr>
      <w:r w:rsidRPr="007F04F8">
        <w:rPr>
          <w:b/>
          <w:color w:val="000000" w:themeColor="text1"/>
        </w:rPr>
        <w:t xml:space="preserve">Table S1. </w:t>
      </w:r>
      <w:r w:rsidR="00A5797C" w:rsidRPr="007F04F8">
        <w:rPr>
          <w:color w:val="000000" w:themeColor="text1"/>
        </w:rPr>
        <w:t>Quantum chemical parameters of neutral and protonated pyridine oximes calculated using DFT/GGA method.</w:t>
      </w:r>
    </w:p>
    <w:tbl>
      <w:tblPr>
        <w:tblStyle w:val="Mdeck5tablebodythreelines"/>
        <w:tblW w:w="9214" w:type="dxa"/>
        <w:tblLayout w:type="fixed"/>
        <w:tblCellMar>
          <w:left w:w="0" w:type="dxa"/>
          <w:right w:w="0" w:type="dxa"/>
        </w:tblCellMar>
        <w:tblLook w:val="04A0" w:firstRow="1" w:lastRow="0" w:firstColumn="1" w:lastColumn="0" w:noHBand="0" w:noVBand="1"/>
      </w:tblPr>
      <w:tblGrid>
        <w:gridCol w:w="1134"/>
        <w:gridCol w:w="1052"/>
        <w:gridCol w:w="1298"/>
        <w:gridCol w:w="1004"/>
        <w:gridCol w:w="1004"/>
        <w:gridCol w:w="1161"/>
        <w:gridCol w:w="1002"/>
        <w:gridCol w:w="850"/>
        <w:gridCol w:w="709"/>
      </w:tblGrid>
      <w:tr w:rsidR="007F04F8" w:rsidRPr="007F04F8" w14:paraId="4D995656" w14:textId="77777777" w:rsidTr="00D07966">
        <w:trPr>
          <w:cnfStyle w:val="100000000000" w:firstRow="1" w:lastRow="0" w:firstColumn="0" w:lastColumn="0" w:oddVBand="0" w:evenVBand="0" w:oddHBand="0" w:evenHBand="0" w:firstRowFirstColumn="0" w:firstRowLastColumn="0" w:lastRowFirstColumn="0" w:lastRowLastColumn="0"/>
        </w:trPr>
        <w:tc>
          <w:tcPr>
            <w:tcW w:w="1134" w:type="dxa"/>
            <w:shd w:val="clear" w:color="auto" w:fill="auto"/>
          </w:tcPr>
          <w:p w14:paraId="70442AAC" w14:textId="77777777" w:rsidR="00A5797C" w:rsidRPr="007F04F8" w:rsidRDefault="00A5797C" w:rsidP="00BB5FDB">
            <w:pPr>
              <w:pStyle w:val="MDPI42tablebody"/>
              <w:autoSpaceDE w:val="0"/>
              <w:autoSpaceDN w:val="0"/>
              <w:spacing w:line="240" w:lineRule="auto"/>
              <w:rPr>
                <w:rFonts w:eastAsiaTheme="minorEastAsia"/>
                <w:b/>
                <w:color w:val="000000" w:themeColor="text1"/>
              </w:rPr>
            </w:pPr>
            <w:r w:rsidRPr="007F04F8">
              <w:rPr>
                <w:rFonts w:eastAsiaTheme="minorEastAsia"/>
                <w:b/>
                <w:color w:val="000000" w:themeColor="text1"/>
              </w:rPr>
              <w:t>Molecule</w:t>
            </w:r>
          </w:p>
        </w:tc>
        <w:tc>
          <w:tcPr>
            <w:tcW w:w="1052" w:type="dxa"/>
            <w:shd w:val="clear" w:color="auto" w:fill="auto"/>
          </w:tcPr>
          <w:p w14:paraId="02260625" w14:textId="77777777" w:rsidR="00A5797C" w:rsidRPr="007F04F8" w:rsidRDefault="00A5797C" w:rsidP="00BB5FDB">
            <w:pPr>
              <w:pStyle w:val="MDPI42tablebody"/>
              <w:autoSpaceDE w:val="0"/>
              <w:autoSpaceDN w:val="0"/>
              <w:spacing w:line="240" w:lineRule="auto"/>
              <w:rPr>
                <w:rFonts w:eastAsiaTheme="minorEastAsia"/>
                <w:b/>
                <w:color w:val="000000" w:themeColor="text1"/>
              </w:rPr>
            </w:pPr>
            <w:r w:rsidRPr="007F04F8">
              <w:rPr>
                <w:rFonts w:eastAsiaTheme="minorEastAsia"/>
                <w:b/>
                <w:i/>
                <w:iCs/>
                <w:color w:val="000000" w:themeColor="text1"/>
              </w:rPr>
              <w:t>E</w:t>
            </w:r>
            <w:r w:rsidRPr="007F04F8">
              <w:rPr>
                <w:rFonts w:eastAsiaTheme="minorEastAsia"/>
                <w:b/>
                <w:color w:val="000000" w:themeColor="text1"/>
                <w:vertAlign w:val="subscript"/>
              </w:rPr>
              <w:t>HOMO</w:t>
            </w:r>
          </w:p>
        </w:tc>
        <w:tc>
          <w:tcPr>
            <w:tcW w:w="1298" w:type="dxa"/>
            <w:shd w:val="clear" w:color="auto" w:fill="auto"/>
            <w:noWrap/>
            <w:hideMark/>
          </w:tcPr>
          <w:p w14:paraId="07C65E16" w14:textId="77777777" w:rsidR="00A5797C" w:rsidRPr="007F04F8" w:rsidRDefault="00A5797C" w:rsidP="00BB5FDB">
            <w:pPr>
              <w:pStyle w:val="MDPI42tablebody"/>
              <w:autoSpaceDE w:val="0"/>
              <w:autoSpaceDN w:val="0"/>
              <w:spacing w:line="240" w:lineRule="auto"/>
              <w:rPr>
                <w:rFonts w:eastAsiaTheme="minorEastAsia"/>
                <w:b/>
                <w:color w:val="000000" w:themeColor="text1"/>
              </w:rPr>
            </w:pPr>
            <w:r w:rsidRPr="007F04F8">
              <w:rPr>
                <w:rFonts w:eastAsiaTheme="minorEastAsia"/>
                <w:b/>
                <w:i/>
                <w:iCs/>
                <w:color w:val="000000" w:themeColor="text1"/>
              </w:rPr>
              <w:t>E</w:t>
            </w:r>
            <w:r w:rsidRPr="007F04F8">
              <w:rPr>
                <w:rFonts w:eastAsiaTheme="minorEastAsia"/>
                <w:b/>
                <w:color w:val="000000" w:themeColor="text1"/>
                <w:vertAlign w:val="subscript"/>
              </w:rPr>
              <w:t>LUMO</w:t>
            </w:r>
          </w:p>
        </w:tc>
        <w:tc>
          <w:tcPr>
            <w:tcW w:w="1004" w:type="dxa"/>
            <w:shd w:val="clear" w:color="auto" w:fill="auto"/>
            <w:noWrap/>
            <w:hideMark/>
          </w:tcPr>
          <w:p w14:paraId="60141EA6" w14:textId="77777777" w:rsidR="00A5797C" w:rsidRPr="007F04F8" w:rsidRDefault="00A5797C" w:rsidP="00BB5FDB">
            <w:pPr>
              <w:pStyle w:val="MDPI42tablebody"/>
              <w:autoSpaceDE w:val="0"/>
              <w:autoSpaceDN w:val="0"/>
              <w:spacing w:line="240" w:lineRule="auto"/>
              <w:rPr>
                <w:rFonts w:eastAsiaTheme="minorEastAsia"/>
                <w:b/>
                <w:color w:val="000000" w:themeColor="text1"/>
              </w:rPr>
            </w:pPr>
            <w:r w:rsidRPr="007F04F8">
              <w:rPr>
                <w:rFonts w:eastAsiaTheme="minorEastAsia"/>
                <w:b/>
                <w:color w:val="000000" w:themeColor="text1"/>
              </w:rPr>
              <w:t>∆E</w:t>
            </w:r>
          </w:p>
        </w:tc>
        <w:tc>
          <w:tcPr>
            <w:tcW w:w="1004" w:type="dxa"/>
            <w:shd w:val="clear" w:color="auto" w:fill="auto"/>
            <w:noWrap/>
            <w:hideMark/>
          </w:tcPr>
          <w:p w14:paraId="7EE8C106" w14:textId="77777777" w:rsidR="00A5797C" w:rsidRPr="007F04F8" w:rsidRDefault="00A5797C" w:rsidP="00BB5FDB">
            <w:pPr>
              <w:pStyle w:val="MDPI42tablebody"/>
              <w:autoSpaceDE w:val="0"/>
              <w:autoSpaceDN w:val="0"/>
              <w:spacing w:line="240" w:lineRule="auto"/>
              <w:rPr>
                <w:rFonts w:eastAsiaTheme="minorEastAsia"/>
                <w:b/>
                <w:i/>
                <w:iCs/>
                <w:color w:val="000000" w:themeColor="text1"/>
              </w:rPr>
            </w:pPr>
            <w:r w:rsidRPr="007F04F8">
              <w:rPr>
                <w:rFonts w:ascii="Calibri" w:eastAsiaTheme="minorEastAsia" w:hAnsi="Calibri" w:cs="Calibri"/>
                <w:b/>
                <w:i/>
                <w:iCs/>
                <w:color w:val="000000" w:themeColor="text1"/>
              </w:rPr>
              <w:t>Ƞ</w:t>
            </w:r>
          </w:p>
        </w:tc>
        <w:tc>
          <w:tcPr>
            <w:tcW w:w="1161" w:type="dxa"/>
            <w:shd w:val="clear" w:color="auto" w:fill="auto"/>
            <w:noWrap/>
            <w:hideMark/>
          </w:tcPr>
          <w:p w14:paraId="42420854" w14:textId="77777777" w:rsidR="00A5797C" w:rsidRPr="007F04F8" w:rsidRDefault="00A5797C" w:rsidP="00BB5FDB">
            <w:pPr>
              <w:pStyle w:val="MDPI42tablebody"/>
              <w:autoSpaceDE w:val="0"/>
              <w:autoSpaceDN w:val="0"/>
              <w:spacing w:line="240" w:lineRule="auto"/>
              <w:rPr>
                <w:rFonts w:eastAsiaTheme="minorEastAsia"/>
                <w:b/>
                <w:i/>
                <w:iCs/>
                <w:color w:val="000000" w:themeColor="text1"/>
              </w:rPr>
            </w:pPr>
            <w:r w:rsidRPr="007F04F8">
              <w:rPr>
                <w:rFonts w:eastAsiaTheme="minorEastAsia"/>
                <w:b/>
                <w:i/>
                <w:iCs/>
                <w:color w:val="000000" w:themeColor="text1"/>
              </w:rPr>
              <w:t>ω</w:t>
            </w:r>
          </w:p>
        </w:tc>
        <w:tc>
          <w:tcPr>
            <w:tcW w:w="1002" w:type="dxa"/>
            <w:shd w:val="clear" w:color="auto" w:fill="auto"/>
            <w:noWrap/>
            <w:hideMark/>
          </w:tcPr>
          <w:p w14:paraId="7A464FCF" w14:textId="77777777" w:rsidR="00A5797C" w:rsidRPr="007F04F8" w:rsidRDefault="00A5797C" w:rsidP="00BB5FDB">
            <w:pPr>
              <w:pStyle w:val="MDPI42tablebody"/>
              <w:autoSpaceDE w:val="0"/>
              <w:autoSpaceDN w:val="0"/>
              <w:spacing w:line="240" w:lineRule="auto"/>
              <w:rPr>
                <w:rFonts w:eastAsiaTheme="minorEastAsia"/>
                <w:b/>
                <w:i/>
                <w:iCs/>
                <w:color w:val="000000" w:themeColor="text1"/>
              </w:rPr>
            </w:pPr>
            <w:r w:rsidRPr="007F04F8">
              <w:rPr>
                <w:rFonts w:eastAsiaTheme="minorEastAsia"/>
                <w:b/>
                <w:i/>
                <w:iCs/>
                <w:color w:val="000000" w:themeColor="text1"/>
              </w:rPr>
              <w:t>σ</w:t>
            </w:r>
          </w:p>
        </w:tc>
        <w:tc>
          <w:tcPr>
            <w:tcW w:w="850" w:type="dxa"/>
            <w:shd w:val="clear" w:color="auto" w:fill="auto"/>
            <w:noWrap/>
            <w:hideMark/>
          </w:tcPr>
          <w:p w14:paraId="7670BB78" w14:textId="77777777" w:rsidR="00A5797C" w:rsidRPr="007F04F8" w:rsidRDefault="00A5797C" w:rsidP="00BB5FDB">
            <w:pPr>
              <w:pStyle w:val="MDPI42tablebody"/>
              <w:autoSpaceDE w:val="0"/>
              <w:autoSpaceDN w:val="0"/>
              <w:spacing w:line="240" w:lineRule="auto"/>
              <w:rPr>
                <w:rFonts w:eastAsiaTheme="minorEastAsia"/>
                <w:b/>
                <w:color w:val="000000" w:themeColor="text1"/>
              </w:rPr>
            </w:pPr>
            <w:r w:rsidRPr="007F04F8">
              <w:rPr>
                <w:rFonts w:eastAsiaTheme="minorEastAsia"/>
                <w:b/>
                <w:color w:val="000000" w:themeColor="text1"/>
              </w:rPr>
              <w:t>∆</w:t>
            </w:r>
            <w:r w:rsidRPr="007F04F8">
              <w:rPr>
                <w:rFonts w:eastAsiaTheme="minorEastAsia"/>
                <w:b/>
                <w:i/>
                <w:iCs/>
                <w:color w:val="000000" w:themeColor="text1"/>
              </w:rPr>
              <w:t>N</w:t>
            </w:r>
          </w:p>
        </w:tc>
        <w:tc>
          <w:tcPr>
            <w:tcW w:w="709" w:type="dxa"/>
            <w:shd w:val="clear" w:color="auto" w:fill="auto"/>
            <w:noWrap/>
            <w:hideMark/>
          </w:tcPr>
          <w:p w14:paraId="5DD4F3C9" w14:textId="77777777" w:rsidR="00A5797C" w:rsidRPr="007F04F8" w:rsidRDefault="00A5797C" w:rsidP="00BB5FDB">
            <w:pPr>
              <w:pStyle w:val="MDPI42tablebody"/>
              <w:autoSpaceDE w:val="0"/>
              <w:autoSpaceDN w:val="0"/>
              <w:spacing w:line="240" w:lineRule="auto"/>
              <w:rPr>
                <w:rFonts w:eastAsiaTheme="minorEastAsia"/>
                <w:b/>
                <w:i/>
                <w:iCs/>
                <w:color w:val="000000" w:themeColor="text1"/>
              </w:rPr>
            </w:pPr>
            <w:r w:rsidRPr="007F04F8">
              <w:rPr>
                <w:rFonts w:eastAsiaTheme="minorEastAsia"/>
                <w:b/>
                <w:i/>
                <w:iCs/>
                <w:color w:val="000000" w:themeColor="text1"/>
              </w:rPr>
              <w:t>ε</w:t>
            </w:r>
          </w:p>
        </w:tc>
      </w:tr>
      <w:tr w:rsidR="007F04F8" w:rsidRPr="007F04F8" w14:paraId="30B7206F" w14:textId="77777777" w:rsidTr="00D07966">
        <w:tc>
          <w:tcPr>
            <w:tcW w:w="1134" w:type="dxa"/>
            <w:shd w:val="clear" w:color="auto" w:fill="auto"/>
          </w:tcPr>
          <w:p w14:paraId="0E9205CD" w14:textId="77777777" w:rsidR="00A5797C" w:rsidRPr="007F04F8" w:rsidRDefault="00A5797C" w:rsidP="00BB5FDB">
            <w:pPr>
              <w:pStyle w:val="MDPI42tablebody"/>
              <w:autoSpaceDE w:val="0"/>
              <w:autoSpaceDN w:val="0"/>
              <w:spacing w:line="240" w:lineRule="auto"/>
              <w:rPr>
                <w:rFonts w:eastAsiaTheme="minorEastAsia"/>
                <w:snapToGrid/>
                <w:color w:val="000000" w:themeColor="text1"/>
              </w:rPr>
            </w:pPr>
            <w:r w:rsidRPr="007F04F8">
              <w:rPr>
                <w:rFonts w:eastAsiaTheme="minorEastAsia"/>
                <w:snapToGrid/>
                <w:color w:val="000000" w:themeColor="text1"/>
              </w:rPr>
              <w:t>2PaOH</w:t>
            </w:r>
          </w:p>
        </w:tc>
        <w:tc>
          <w:tcPr>
            <w:tcW w:w="1052" w:type="dxa"/>
            <w:shd w:val="clear" w:color="auto" w:fill="auto"/>
          </w:tcPr>
          <w:p w14:paraId="12F533CF" w14:textId="77777777" w:rsidR="00A5797C" w:rsidRPr="007F04F8" w:rsidRDefault="00A5797C" w:rsidP="00BB5FDB">
            <w:pPr>
              <w:pStyle w:val="MDPI42tablebody"/>
              <w:autoSpaceDE w:val="0"/>
              <w:autoSpaceDN w:val="0"/>
              <w:spacing w:line="240" w:lineRule="auto"/>
              <w:rPr>
                <w:rFonts w:eastAsiaTheme="minorEastAsia"/>
                <w:snapToGrid/>
                <w:color w:val="000000" w:themeColor="text1"/>
              </w:rPr>
            </w:pPr>
            <w:r w:rsidRPr="007F04F8">
              <w:rPr>
                <w:rFonts w:eastAsiaTheme="minorEastAsia"/>
                <w:snapToGrid/>
                <w:color w:val="000000" w:themeColor="text1"/>
              </w:rPr>
              <w:t>-6.091</w:t>
            </w:r>
          </w:p>
        </w:tc>
        <w:tc>
          <w:tcPr>
            <w:tcW w:w="1298" w:type="dxa"/>
            <w:shd w:val="clear" w:color="auto" w:fill="auto"/>
            <w:noWrap/>
            <w:hideMark/>
          </w:tcPr>
          <w:p w14:paraId="63D157BA" w14:textId="77777777" w:rsidR="00A5797C" w:rsidRPr="007F04F8" w:rsidRDefault="00A5797C" w:rsidP="00BB5FDB">
            <w:pPr>
              <w:pStyle w:val="MDPI42tablebody"/>
              <w:autoSpaceDE w:val="0"/>
              <w:autoSpaceDN w:val="0"/>
              <w:spacing w:line="240" w:lineRule="auto"/>
              <w:rPr>
                <w:rFonts w:eastAsiaTheme="minorEastAsia"/>
                <w:snapToGrid/>
                <w:color w:val="000000" w:themeColor="text1"/>
              </w:rPr>
            </w:pPr>
            <w:r w:rsidRPr="007F04F8">
              <w:rPr>
                <w:rFonts w:eastAsiaTheme="minorEastAsia"/>
                <w:snapToGrid/>
                <w:color w:val="000000" w:themeColor="text1"/>
              </w:rPr>
              <w:t>-2.66</w:t>
            </w:r>
          </w:p>
        </w:tc>
        <w:tc>
          <w:tcPr>
            <w:tcW w:w="1004" w:type="dxa"/>
            <w:shd w:val="clear" w:color="auto" w:fill="auto"/>
            <w:noWrap/>
            <w:hideMark/>
          </w:tcPr>
          <w:p w14:paraId="711F5801" w14:textId="77777777" w:rsidR="00A5797C" w:rsidRPr="007F04F8" w:rsidRDefault="00A5797C" w:rsidP="00BB5FDB">
            <w:pPr>
              <w:pStyle w:val="MDPI42tablebody"/>
              <w:autoSpaceDE w:val="0"/>
              <w:autoSpaceDN w:val="0"/>
              <w:spacing w:line="240" w:lineRule="auto"/>
              <w:rPr>
                <w:rFonts w:eastAsiaTheme="minorEastAsia"/>
                <w:snapToGrid/>
                <w:color w:val="000000" w:themeColor="text1"/>
              </w:rPr>
            </w:pPr>
            <w:r w:rsidRPr="007F04F8">
              <w:rPr>
                <w:rFonts w:eastAsiaTheme="minorEastAsia"/>
                <w:snapToGrid/>
                <w:color w:val="000000" w:themeColor="text1"/>
              </w:rPr>
              <w:t>3.431</w:t>
            </w:r>
          </w:p>
        </w:tc>
        <w:tc>
          <w:tcPr>
            <w:tcW w:w="1004" w:type="dxa"/>
            <w:shd w:val="clear" w:color="auto" w:fill="auto"/>
            <w:noWrap/>
            <w:hideMark/>
          </w:tcPr>
          <w:p w14:paraId="5A800B9C" w14:textId="77777777" w:rsidR="00A5797C" w:rsidRPr="007F04F8" w:rsidRDefault="00A5797C" w:rsidP="00BB5FDB">
            <w:pPr>
              <w:pStyle w:val="MDPI42tablebody"/>
              <w:autoSpaceDE w:val="0"/>
              <w:autoSpaceDN w:val="0"/>
              <w:spacing w:line="240" w:lineRule="auto"/>
              <w:rPr>
                <w:rFonts w:eastAsiaTheme="minorEastAsia"/>
                <w:snapToGrid/>
                <w:color w:val="000000" w:themeColor="text1"/>
              </w:rPr>
            </w:pPr>
            <w:r w:rsidRPr="007F04F8">
              <w:rPr>
                <w:rFonts w:eastAsiaTheme="minorEastAsia"/>
                <w:snapToGrid/>
                <w:color w:val="000000" w:themeColor="text1"/>
              </w:rPr>
              <w:t>1.715</w:t>
            </w:r>
          </w:p>
        </w:tc>
        <w:tc>
          <w:tcPr>
            <w:tcW w:w="1161" w:type="dxa"/>
            <w:shd w:val="clear" w:color="auto" w:fill="auto"/>
            <w:noWrap/>
            <w:hideMark/>
          </w:tcPr>
          <w:p w14:paraId="7D4A3337" w14:textId="77777777" w:rsidR="00A5797C" w:rsidRPr="007F04F8" w:rsidRDefault="00A5797C" w:rsidP="00BB5FDB">
            <w:pPr>
              <w:pStyle w:val="MDPI42tablebody"/>
              <w:autoSpaceDE w:val="0"/>
              <w:autoSpaceDN w:val="0"/>
              <w:spacing w:line="240" w:lineRule="auto"/>
              <w:rPr>
                <w:rFonts w:eastAsiaTheme="minorEastAsia"/>
                <w:snapToGrid/>
                <w:color w:val="000000" w:themeColor="text1"/>
              </w:rPr>
            </w:pPr>
            <w:r w:rsidRPr="007F04F8">
              <w:rPr>
                <w:rFonts w:eastAsiaTheme="minorEastAsia"/>
                <w:snapToGrid/>
                <w:color w:val="000000" w:themeColor="text1"/>
              </w:rPr>
              <w:t>5.580</w:t>
            </w:r>
          </w:p>
        </w:tc>
        <w:tc>
          <w:tcPr>
            <w:tcW w:w="1002" w:type="dxa"/>
            <w:shd w:val="clear" w:color="auto" w:fill="auto"/>
            <w:noWrap/>
            <w:hideMark/>
          </w:tcPr>
          <w:p w14:paraId="229BB321" w14:textId="77777777" w:rsidR="00A5797C" w:rsidRPr="007F04F8" w:rsidRDefault="00A5797C" w:rsidP="00BB5FDB">
            <w:pPr>
              <w:pStyle w:val="MDPI42tablebody"/>
              <w:autoSpaceDE w:val="0"/>
              <w:autoSpaceDN w:val="0"/>
              <w:spacing w:line="240" w:lineRule="auto"/>
              <w:rPr>
                <w:rFonts w:eastAsiaTheme="minorEastAsia"/>
                <w:snapToGrid/>
                <w:color w:val="000000" w:themeColor="text1"/>
              </w:rPr>
            </w:pPr>
            <w:r w:rsidRPr="007F04F8">
              <w:rPr>
                <w:rFonts w:eastAsiaTheme="minorEastAsia"/>
                <w:snapToGrid/>
                <w:color w:val="000000" w:themeColor="text1"/>
              </w:rPr>
              <w:t>0.582</w:t>
            </w:r>
          </w:p>
        </w:tc>
        <w:tc>
          <w:tcPr>
            <w:tcW w:w="850" w:type="dxa"/>
            <w:shd w:val="clear" w:color="auto" w:fill="auto"/>
            <w:noWrap/>
            <w:hideMark/>
          </w:tcPr>
          <w:p w14:paraId="4A33AD10" w14:textId="77777777" w:rsidR="00A5797C" w:rsidRPr="007F04F8" w:rsidRDefault="00A5797C" w:rsidP="00BB5FDB">
            <w:pPr>
              <w:pStyle w:val="MDPI42tablebody"/>
              <w:autoSpaceDE w:val="0"/>
              <w:autoSpaceDN w:val="0"/>
              <w:spacing w:line="240" w:lineRule="auto"/>
              <w:rPr>
                <w:rFonts w:eastAsiaTheme="minorEastAsia"/>
                <w:snapToGrid/>
                <w:color w:val="000000" w:themeColor="text1"/>
              </w:rPr>
            </w:pPr>
            <w:r w:rsidRPr="007F04F8">
              <w:rPr>
                <w:rFonts w:eastAsiaTheme="minorEastAsia"/>
                <w:snapToGrid/>
                <w:color w:val="000000" w:themeColor="text1"/>
              </w:rPr>
              <w:t>0.129</w:t>
            </w:r>
          </w:p>
        </w:tc>
        <w:tc>
          <w:tcPr>
            <w:tcW w:w="709" w:type="dxa"/>
            <w:shd w:val="clear" w:color="auto" w:fill="auto"/>
            <w:noWrap/>
            <w:hideMark/>
          </w:tcPr>
          <w:p w14:paraId="3B8321DE" w14:textId="77777777" w:rsidR="00A5797C" w:rsidRPr="007F04F8" w:rsidRDefault="00A5797C" w:rsidP="00BB5FDB">
            <w:pPr>
              <w:pStyle w:val="MDPI42tablebody"/>
              <w:autoSpaceDE w:val="0"/>
              <w:autoSpaceDN w:val="0"/>
              <w:spacing w:line="240" w:lineRule="auto"/>
              <w:rPr>
                <w:rFonts w:eastAsiaTheme="minorEastAsia"/>
                <w:snapToGrid/>
                <w:color w:val="000000" w:themeColor="text1"/>
              </w:rPr>
            </w:pPr>
            <w:r w:rsidRPr="007F04F8">
              <w:rPr>
                <w:rFonts w:eastAsiaTheme="minorEastAsia"/>
                <w:snapToGrid/>
                <w:color w:val="000000" w:themeColor="text1"/>
              </w:rPr>
              <w:t>0.179</w:t>
            </w:r>
          </w:p>
        </w:tc>
      </w:tr>
      <w:tr w:rsidR="007F04F8" w:rsidRPr="007F04F8" w14:paraId="3A5F972D" w14:textId="77777777" w:rsidTr="00D07966">
        <w:tc>
          <w:tcPr>
            <w:tcW w:w="1134" w:type="dxa"/>
            <w:shd w:val="clear" w:color="auto" w:fill="auto"/>
          </w:tcPr>
          <w:p w14:paraId="7C64138B" w14:textId="77777777" w:rsidR="00A5797C" w:rsidRPr="007F04F8" w:rsidRDefault="00A5797C" w:rsidP="00BB5FDB">
            <w:pPr>
              <w:pStyle w:val="MDPI42tablebody"/>
              <w:autoSpaceDE w:val="0"/>
              <w:autoSpaceDN w:val="0"/>
              <w:spacing w:line="240" w:lineRule="auto"/>
              <w:rPr>
                <w:rFonts w:eastAsiaTheme="minorEastAsia"/>
                <w:snapToGrid/>
                <w:color w:val="000000" w:themeColor="text1"/>
              </w:rPr>
            </w:pPr>
            <w:r w:rsidRPr="007F04F8">
              <w:rPr>
                <w:rFonts w:eastAsiaTheme="minorEastAsia"/>
                <w:snapToGrid/>
                <w:color w:val="000000" w:themeColor="text1"/>
              </w:rPr>
              <w:t>3PaOH</w:t>
            </w:r>
          </w:p>
        </w:tc>
        <w:tc>
          <w:tcPr>
            <w:tcW w:w="1052" w:type="dxa"/>
            <w:shd w:val="clear" w:color="auto" w:fill="auto"/>
          </w:tcPr>
          <w:p w14:paraId="264EB7CE" w14:textId="77777777" w:rsidR="00A5797C" w:rsidRPr="007F04F8" w:rsidRDefault="00A5797C" w:rsidP="00BB5FDB">
            <w:pPr>
              <w:pStyle w:val="MDPI42tablebody"/>
              <w:autoSpaceDE w:val="0"/>
              <w:autoSpaceDN w:val="0"/>
              <w:spacing w:line="240" w:lineRule="auto"/>
              <w:rPr>
                <w:rFonts w:eastAsiaTheme="minorEastAsia"/>
                <w:snapToGrid/>
                <w:color w:val="000000" w:themeColor="text1"/>
              </w:rPr>
            </w:pPr>
            <w:r w:rsidRPr="007F04F8">
              <w:rPr>
                <w:rFonts w:eastAsiaTheme="minorEastAsia"/>
                <w:snapToGrid/>
                <w:color w:val="000000" w:themeColor="text1"/>
              </w:rPr>
              <w:t>-6.054</w:t>
            </w:r>
          </w:p>
        </w:tc>
        <w:tc>
          <w:tcPr>
            <w:tcW w:w="1298" w:type="dxa"/>
            <w:shd w:val="clear" w:color="auto" w:fill="auto"/>
            <w:noWrap/>
          </w:tcPr>
          <w:p w14:paraId="34EE1A80" w14:textId="77777777" w:rsidR="00A5797C" w:rsidRPr="007F04F8" w:rsidRDefault="00A5797C" w:rsidP="00BB5FDB">
            <w:pPr>
              <w:pStyle w:val="MDPI42tablebody"/>
              <w:autoSpaceDE w:val="0"/>
              <w:autoSpaceDN w:val="0"/>
              <w:spacing w:line="240" w:lineRule="auto"/>
              <w:rPr>
                <w:rFonts w:eastAsiaTheme="minorEastAsia"/>
                <w:snapToGrid/>
                <w:color w:val="000000" w:themeColor="text1"/>
              </w:rPr>
            </w:pPr>
            <w:r w:rsidRPr="007F04F8">
              <w:rPr>
                <w:rFonts w:eastAsiaTheme="minorEastAsia"/>
                <w:snapToGrid/>
                <w:color w:val="000000" w:themeColor="text1"/>
              </w:rPr>
              <w:t>-4.348</w:t>
            </w:r>
          </w:p>
        </w:tc>
        <w:tc>
          <w:tcPr>
            <w:tcW w:w="1004" w:type="dxa"/>
            <w:shd w:val="clear" w:color="auto" w:fill="auto"/>
            <w:noWrap/>
          </w:tcPr>
          <w:p w14:paraId="2D7B70F9" w14:textId="77777777" w:rsidR="00A5797C" w:rsidRPr="007F04F8" w:rsidRDefault="00A5797C" w:rsidP="00BB5FDB">
            <w:pPr>
              <w:pStyle w:val="MDPI42tablebody"/>
              <w:autoSpaceDE w:val="0"/>
              <w:autoSpaceDN w:val="0"/>
              <w:spacing w:line="240" w:lineRule="auto"/>
              <w:rPr>
                <w:rFonts w:eastAsiaTheme="minorEastAsia"/>
                <w:snapToGrid/>
                <w:color w:val="000000" w:themeColor="text1"/>
              </w:rPr>
            </w:pPr>
            <w:r w:rsidRPr="007F04F8">
              <w:rPr>
                <w:rFonts w:eastAsiaTheme="minorEastAsia"/>
                <w:snapToGrid/>
                <w:color w:val="000000" w:themeColor="text1"/>
              </w:rPr>
              <w:t>1.706</w:t>
            </w:r>
          </w:p>
        </w:tc>
        <w:tc>
          <w:tcPr>
            <w:tcW w:w="1004" w:type="dxa"/>
            <w:shd w:val="clear" w:color="auto" w:fill="auto"/>
            <w:noWrap/>
          </w:tcPr>
          <w:p w14:paraId="73A9DD71" w14:textId="77777777" w:rsidR="00A5797C" w:rsidRPr="007F04F8" w:rsidRDefault="00A5797C" w:rsidP="00BB5FDB">
            <w:pPr>
              <w:pStyle w:val="MDPI42tablebody"/>
              <w:autoSpaceDE w:val="0"/>
              <w:autoSpaceDN w:val="0"/>
              <w:spacing w:line="240" w:lineRule="auto"/>
              <w:rPr>
                <w:rFonts w:eastAsiaTheme="minorEastAsia"/>
                <w:snapToGrid/>
                <w:color w:val="000000" w:themeColor="text1"/>
              </w:rPr>
            </w:pPr>
            <w:r w:rsidRPr="007F04F8">
              <w:rPr>
                <w:rFonts w:eastAsiaTheme="minorEastAsia"/>
                <w:snapToGrid/>
                <w:color w:val="000000" w:themeColor="text1"/>
              </w:rPr>
              <w:t>0.853</w:t>
            </w:r>
          </w:p>
        </w:tc>
        <w:tc>
          <w:tcPr>
            <w:tcW w:w="1161" w:type="dxa"/>
            <w:shd w:val="clear" w:color="auto" w:fill="auto"/>
            <w:noWrap/>
          </w:tcPr>
          <w:p w14:paraId="56A121D9" w14:textId="77777777" w:rsidR="00A5797C" w:rsidRPr="007F04F8" w:rsidRDefault="00A5797C" w:rsidP="00BB5FDB">
            <w:pPr>
              <w:pStyle w:val="MDPI42tablebody"/>
              <w:autoSpaceDE w:val="0"/>
              <w:autoSpaceDN w:val="0"/>
              <w:spacing w:line="240" w:lineRule="auto"/>
              <w:rPr>
                <w:rFonts w:eastAsiaTheme="minorEastAsia"/>
                <w:snapToGrid/>
                <w:color w:val="000000" w:themeColor="text1"/>
              </w:rPr>
            </w:pPr>
            <w:r w:rsidRPr="007F04F8">
              <w:rPr>
                <w:rFonts w:eastAsiaTheme="minorEastAsia"/>
                <w:snapToGrid/>
                <w:color w:val="000000" w:themeColor="text1"/>
              </w:rPr>
              <w:t>15.856</w:t>
            </w:r>
          </w:p>
        </w:tc>
        <w:tc>
          <w:tcPr>
            <w:tcW w:w="1002" w:type="dxa"/>
            <w:shd w:val="clear" w:color="auto" w:fill="auto"/>
            <w:noWrap/>
          </w:tcPr>
          <w:p w14:paraId="7E9C6DF3" w14:textId="77777777" w:rsidR="00A5797C" w:rsidRPr="007F04F8" w:rsidRDefault="00A5797C" w:rsidP="00BB5FDB">
            <w:pPr>
              <w:pStyle w:val="MDPI42tablebody"/>
              <w:autoSpaceDE w:val="0"/>
              <w:autoSpaceDN w:val="0"/>
              <w:spacing w:line="240" w:lineRule="auto"/>
              <w:rPr>
                <w:rFonts w:eastAsiaTheme="minorEastAsia"/>
                <w:snapToGrid/>
                <w:color w:val="000000" w:themeColor="text1"/>
              </w:rPr>
            </w:pPr>
            <w:r w:rsidRPr="007F04F8">
              <w:rPr>
                <w:rFonts w:eastAsiaTheme="minorEastAsia"/>
                <w:snapToGrid/>
                <w:color w:val="000000" w:themeColor="text1"/>
              </w:rPr>
              <w:t>1.172</w:t>
            </w:r>
          </w:p>
        </w:tc>
        <w:tc>
          <w:tcPr>
            <w:tcW w:w="850" w:type="dxa"/>
            <w:shd w:val="clear" w:color="auto" w:fill="auto"/>
            <w:noWrap/>
          </w:tcPr>
          <w:p w14:paraId="5233079A" w14:textId="77777777" w:rsidR="00A5797C" w:rsidRPr="007F04F8" w:rsidRDefault="00A5797C" w:rsidP="00BB5FDB">
            <w:pPr>
              <w:pStyle w:val="MDPI42tablebody"/>
              <w:autoSpaceDE w:val="0"/>
              <w:autoSpaceDN w:val="0"/>
              <w:spacing w:line="240" w:lineRule="auto"/>
              <w:rPr>
                <w:rFonts w:eastAsiaTheme="minorEastAsia"/>
                <w:snapToGrid/>
                <w:color w:val="000000" w:themeColor="text1"/>
              </w:rPr>
            </w:pPr>
            <w:r w:rsidRPr="007F04F8">
              <w:rPr>
                <w:rFonts w:eastAsiaTheme="minorEastAsia"/>
                <w:snapToGrid/>
                <w:color w:val="000000" w:themeColor="text1"/>
              </w:rPr>
              <w:t>-0.223</w:t>
            </w:r>
          </w:p>
        </w:tc>
        <w:tc>
          <w:tcPr>
            <w:tcW w:w="709" w:type="dxa"/>
            <w:shd w:val="clear" w:color="auto" w:fill="auto"/>
            <w:noWrap/>
          </w:tcPr>
          <w:p w14:paraId="0AB77065" w14:textId="77777777" w:rsidR="00A5797C" w:rsidRPr="007F04F8" w:rsidRDefault="00A5797C" w:rsidP="00BB5FDB">
            <w:pPr>
              <w:pStyle w:val="MDPI42tablebody"/>
              <w:autoSpaceDE w:val="0"/>
              <w:autoSpaceDN w:val="0"/>
              <w:spacing w:line="240" w:lineRule="auto"/>
              <w:rPr>
                <w:rFonts w:eastAsiaTheme="minorEastAsia"/>
                <w:snapToGrid/>
                <w:color w:val="000000" w:themeColor="text1"/>
              </w:rPr>
            </w:pPr>
            <w:r w:rsidRPr="007F04F8">
              <w:rPr>
                <w:rFonts w:eastAsiaTheme="minorEastAsia"/>
                <w:snapToGrid/>
                <w:color w:val="000000" w:themeColor="text1"/>
              </w:rPr>
              <w:t>0.063</w:t>
            </w:r>
          </w:p>
        </w:tc>
      </w:tr>
      <w:tr w:rsidR="007F04F8" w:rsidRPr="007F04F8" w14:paraId="796D04E4" w14:textId="77777777" w:rsidTr="00D07966">
        <w:tc>
          <w:tcPr>
            <w:tcW w:w="1134" w:type="dxa"/>
            <w:shd w:val="clear" w:color="auto" w:fill="auto"/>
          </w:tcPr>
          <w:p w14:paraId="003773F1" w14:textId="77777777" w:rsidR="00A5797C" w:rsidRPr="007F04F8" w:rsidRDefault="00A5797C" w:rsidP="00BB5FDB">
            <w:pPr>
              <w:pStyle w:val="MDPI42tablebody"/>
              <w:autoSpaceDE w:val="0"/>
              <w:autoSpaceDN w:val="0"/>
              <w:spacing w:line="240" w:lineRule="auto"/>
              <w:rPr>
                <w:rFonts w:eastAsiaTheme="minorEastAsia"/>
                <w:snapToGrid/>
                <w:color w:val="000000" w:themeColor="text1"/>
              </w:rPr>
            </w:pPr>
            <w:r w:rsidRPr="007F04F8">
              <w:rPr>
                <w:rFonts w:eastAsiaTheme="minorEastAsia"/>
                <w:snapToGrid/>
                <w:color w:val="000000" w:themeColor="text1"/>
              </w:rPr>
              <w:t>2PaOH+</w:t>
            </w:r>
          </w:p>
        </w:tc>
        <w:tc>
          <w:tcPr>
            <w:tcW w:w="1052" w:type="dxa"/>
            <w:shd w:val="clear" w:color="auto" w:fill="auto"/>
          </w:tcPr>
          <w:p w14:paraId="6A6788D0" w14:textId="77777777" w:rsidR="00A5797C" w:rsidRPr="007F04F8" w:rsidRDefault="00A5797C" w:rsidP="00BB5FDB">
            <w:pPr>
              <w:pStyle w:val="MDPI42tablebody"/>
              <w:autoSpaceDE w:val="0"/>
              <w:autoSpaceDN w:val="0"/>
              <w:spacing w:line="240" w:lineRule="auto"/>
              <w:rPr>
                <w:rFonts w:eastAsiaTheme="minorEastAsia"/>
                <w:snapToGrid/>
                <w:color w:val="000000" w:themeColor="text1"/>
              </w:rPr>
            </w:pPr>
            <w:r w:rsidRPr="007F04F8">
              <w:rPr>
                <w:rFonts w:eastAsiaTheme="minorEastAsia"/>
                <w:snapToGrid/>
                <w:color w:val="000000" w:themeColor="text1"/>
              </w:rPr>
              <w:t>-6.874</w:t>
            </w:r>
          </w:p>
        </w:tc>
        <w:tc>
          <w:tcPr>
            <w:tcW w:w="1298" w:type="dxa"/>
            <w:shd w:val="clear" w:color="auto" w:fill="auto"/>
            <w:noWrap/>
          </w:tcPr>
          <w:p w14:paraId="20F89079" w14:textId="77777777" w:rsidR="00A5797C" w:rsidRPr="007F04F8" w:rsidRDefault="00A5797C" w:rsidP="00BB5FDB">
            <w:pPr>
              <w:pStyle w:val="MDPI42tablebody"/>
              <w:autoSpaceDE w:val="0"/>
              <w:autoSpaceDN w:val="0"/>
              <w:spacing w:line="240" w:lineRule="auto"/>
              <w:rPr>
                <w:rFonts w:eastAsiaTheme="minorEastAsia"/>
                <w:snapToGrid/>
                <w:color w:val="000000" w:themeColor="text1"/>
              </w:rPr>
            </w:pPr>
            <w:r w:rsidRPr="007F04F8">
              <w:rPr>
                <w:rFonts w:eastAsiaTheme="minorEastAsia"/>
                <w:snapToGrid/>
                <w:color w:val="000000" w:themeColor="text1"/>
              </w:rPr>
              <w:t>-3.753</w:t>
            </w:r>
          </w:p>
        </w:tc>
        <w:tc>
          <w:tcPr>
            <w:tcW w:w="1004" w:type="dxa"/>
            <w:shd w:val="clear" w:color="auto" w:fill="auto"/>
            <w:noWrap/>
          </w:tcPr>
          <w:p w14:paraId="7ACB2BF3" w14:textId="77777777" w:rsidR="00A5797C" w:rsidRPr="007F04F8" w:rsidRDefault="00A5797C" w:rsidP="00BB5FDB">
            <w:pPr>
              <w:pStyle w:val="MDPI42tablebody"/>
              <w:autoSpaceDE w:val="0"/>
              <w:autoSpaceDN w:val="0"/>
              <w:spacing w:line="240" w:lineRule="auto"/>
              <w:rPr>
                <w:rFonts w:eastAsiaTheme="minorEastAsia"/>
                <w:snapToGrid/>
                <w:color w:val="000000" w:themeColor="text1"/>
              </w:rPr>
            </w:pPr>
            <w:r w:rsidRPr="007F04F8">
              <w:rPr>
                <w:rFonts w:eastAsiaTheme="minorEastAsia"/>
                <w:snapToGrid/>
                <w:color w:val="000000" w:themeColor="text1"/>
              </w:rPr>
              <w:t>3.121</w:t>
            </w:r>
          </w:p>
        </w:tc>
        <w:tc>
          <w:tcPr>
            <w:tcW w:w="1004" w:type="dxa"/>
            <w:shd w:val="clear" w:color="auto" w:fill="auto"/>
            <w:noWrap/>
          </w:tcPr>
          <w:p w14:paraId="5F61F9BE" w14:textId="77777777" w:rsidR="00A5797C" w:rsidRPr="007F04F8" w:rsidRDefault="00A5797C" w:rsidP="00BB5FDB">
            <w:pPr>
              <w:pStyle w:val="MDPI42tablebody"/>
              <w:autoSpaceDE w:val="0"/>
              <w:autoSpaceDN w:val="0"/>
              <w:spacing w:line="240" w:lineRule="auto"/>
              <w:rPr>
                <w:rFonts w:eastAsiaTheme="minorEastAsia"/>
                <w:snapToGrid/>
                <w:color w:val="000000" w:themeColor="text1"/>
              </w:rPr>
            </w:pPr>
            <w:r w:rsidRPr="007F04F8">
              <w:rPr>
                <w:rFonts w:eastAsiaTheme="minorEastAsia"/>
                <w:snapToGrid/>
                <w:color w:val="000000" w:themeColor="text1"/>
              </w:rPr>
              <w:t>1.560</w:t>
            </w:r>
          </w:p>
        </w:tc>
        <w:tc>
          <w:tcPr>
            <w:tcW w:w="1161" w:type="dxa"/>
            <w:shd w:val="clear" w:color="auto" w:fill="auto"/>
            <w:noWrap/>
          </w:tcPr>
          <w:p w14:paraId="4CB6E097" w14:textId="77777777" w:rsidR="00A5797C" w:rsidRPr="007F04F8" w:rsidRDefault="00A5797C" w:rsidP="00BB5FDB">
            <w:pPr>
              <w:pStyle w:val="MDPI42tablebody"/>
              <w:autoSpaceDE w:val="0"/>
              <w:autoSpaceDN w:val="0"/>
              <w:spacing w:line="240" w:lineRule="auto"/>
              <w:rPr>
                <w:rFonts w:eastAsiaTheme="minorEastAsia"/>
                <w:snapToGrid/>
                <w:color w:val="000000" w:themeColor="text1"/>
              </w:rPr>
            </w:pPr>
            <w:r w:rsidRPr="007F04F8">
              <w:rPr>
                <w:rFonts w:eastAsiaTheme="minorEastAsia"/>
                <w:snapToGrid/>
                <w:color w:val="000000" w:themeColor="text1"/>
              </w:rPr>
              <w:t>9.046</w:t>
            </w:r>
          </w:p>
        </w:tc>
        <w:tc>
          <w:tcPr>
            <w:tcW w:w="1002" w:type="dxa"/>
            <w:shd w:val="clear" w:color="auto" w:fill="auto"/>
            <w:noWrap/>
          </w:tcPr>
          <w:p w14:paraId="1ED2D048" w14:textId="77777777" w:rsidR="00A5797C" w:rsidRPr="007F04F8" w:rsidRDefault="00A5797C" w:rsidP="00BB5FDB">
            <w:pPr>
              <w:pStyle w:val="MDPI42tablebody"/>
              <w:autoSpaceDE w:val="0"/>
              <w:autoSpaceDN w:val="0"/>
              <w:spacing w:line="240" w:lineRule="auto"/>
              <w:rPr>
                <w:rFonts w:eastAsiaTheme="minorEastAsia"/>
                <w:snapToGrid/>
                <w:color w:val="000000" w:themeColor="text1"/>
              </w:rPr>
            </w:pPr>
            <w:r w:rsidRPr="007F04F8">
              <w:rPr>
                <w:rFonts w:eastAsiaTheme="minorEastAsia"/>
                <w:snapToGrid/>
                <w:color w:val="000000" w:themeColor="text1"/>
              </w:rPr>
              <w:t>0.640</w:t>
            </w:r>
          </w:p>
        </w:tc>
        <w:tc>
          <w:tcPr>
            <w:tcW w:w="850" w:type="dxa"/>
            <w:shd w:val="clear" w:color="auto" w:fill="auto"/>
            <w:noWrap/>
          </w:tcPr>
          <w:p w14:paraId="188D2251" w14:textId="77777777" w:rsidR="00A5797C" w:rsidRPr="007F04F8" w:rsidRDefault="00A5797C" w:rsidP="00BB5FDB">
            <w:pPr>
              <w:pStyle w:val="MDPI42tablebody"/>
              <w:autoSpaceDE w:val="0"/>
              <w:autoSpaceDN w:val="0"/>
              <w:spacing w:line="240" w:lineRule="auto"/>
              <w:rPr>
                <w:rFonts w:eastAsiaTheme="minorEastAsia"/>
                <w:snapToGrid/>
                <w:color w:val="000000" w:themeColor="text1"/>
              </w:rPr>
            </w:pPr>
            <w:r w:rsidRPr="007F04F8">
              <w:rPr>
                <w:rFonts w:eastAsiaTheme="minorEastAsia"/>
                <w:snapToGrid/>
                <w:color w:val="000000" w:themeColor="text1"/>
              </w:rPr>
              <w:t>-0.158</w:t>
            </w:r>
          </w:p>
        </w:tc>
        <w:tc>
          <w:tcPr>
            <w:tcW w:w="709" w:type="dxa"/>
            <w:shd w:val="clear" w:color="auto" w:fill="auto"/>
            <w:noWrap/>
          </w:tcPr>
          <w:p w14:paraId="796A2DD4" w14:textId="77777777" w:rsidR="00A5797C" w:rsidRPr="007F04F8" w:rsidRDefault="00A5797C" w:rsidP="00BB5FDB">
            <w:pPr>
              <w:pStyle w:val="MDPI42tablebody"/>
              <w:autoSpaceDE w:val="0"/>
              <w:autoSpaceDN w:val="0"/>
              <w:spacing w:line="240" w:lineRule="auto"/>
              <w:rPr>
                <w:rFonts w:eastAsiaTheme="minorEastAsia"/>
                <w:snapToGrid/>
                <w:color w:val="000000" w:themeColor="text1"/>
              </w:rPr>
            </w:pPr>
            <w:r w:rsidRPr="007F04F8">
              <w:rPr>
                <w:rFonts w:eastAsiaTheme="minorEastAsia"/>
                <w:snapToGrid/>
                <w:color w:val="000000" w:themeColor="text1"/>
              </w:rPr>
              <w:t>0.110</w:t>
            </w:r>
          </w:p>
        </w:tc>
      </w:tr>
      <w:tr w:rsidR="007F04F8" w:rsidRPr="007F04F8" w14:paraId="3F02B4BE" w14:textId="77777777" w:rsidTr="00D07966">
        <w:tc>
          <w:tcPr>
            <w:tcW w:w="1134" w:type="dxa"/>
            <w:tcBorders>
              <w:bottom w:val="single" w:sz="8" w:space="0" w:color="auto"/>
            </w:tcBorders>
            <w:shd w:val="clear" w:color="auto" w:fill="auto"/>
          </w:tcPr>
          <w:p w14:paraId="666187CD" w14:textId="77777777" w:rsidR="00A5797C" w:rsidRPr="007F04F8" w:rsidRDefault="00A5797C" w:rsidP="00BB5FDB">
            <w:pPr>
              <w:pStyle w:val="MDPI42tablebody"/>
              <w:autoSpaceDE w:val="0"/>
              <w:autoSpaceDN w:val="0"/>
              <w:spacing w:line="240" w:lineRule="auto"/>
              <w:rPr>
                <w:rFonts w:eastAsiaTheme="minorEastAsia"/>
                <w:snapToGrid/>
                <w:color w:val="000000" w:themeColor="text1"/>
              </w:rPr>
            </w:pPr>
            <w:r w:rsidRPr="007F04F8">
              <w:rPr>
                <w:rFonts w:eastAsiaTheme="minorEastAsia"/>
                <w:snapToGrid/>
                <w:color w:val="000000" w:themeColor="text1"/>
              </w:rPr>
              <w:t>3PaOH+</w:t>
            </w:r>
          </w:p>
        </w:tc>
        <w:tc>
          <w:tcPr>
            <w:tcW w:w="1052" w:type="dxa"/>
            <w:tcBorders>
              <w:bottom w:val="single" w:sz="8" w:space="0" w:color="auto"/>
            </w:tcBorders>
            <w:shd w:val="clear" w:color="auto" w:fill="auto"/>
          </w:tcPr>
          <w:p w14:paraId="46A3AFBE" w14:textId="77777777" w:rsidR="00A5797C" w:rsidRPr="007F04F8" w:rsidRDefault="00A5797C" w:rsidP="00BB5FDB">
            <w:pPr>
              <w:pStyle w:val="MDPI42tablebody"/>
              <w:autoSpaceDE w:val="0"/>
              <w:autoSpaceDN w:val="0"/>
              <w:spacing w:line="240" w:lineRule="auto"/>
              <w:rPr>
                <w:rFonts w:eastAsiaTheme="minorEastAsia"/>
                <w:snapToGrid/>
                <w:color w:val="000000" w:themeColor="text1"/>
              </w:rPr>
            </w:pPr>
            <w:r w:rsidRPr="007F04F8">
              <w:rPr>
                <w:rFonts w:eastAsiaTheme="minorEastAsia"/>
                <w:snapToGrid/>
                <w:color w:val="000000" w:themeColor="text1"/>
              </w:rPr>
              <w:t>-6.442</w:t>
            </w:r>
          </w:p>
        </w:tc>
        <w:tc>
          <w:tcPr>
            <w:tcW w:w="1298" w:type="dxa"/>
            <w:tcBorders>
              <w:bottom w:val="single" w:sz="8" w:space="0" w:color="auto"/>
            </w:tcBorders>
            <w:shd w:val="clear" w:color="auto" w:fill="auto"/>
            <w:noWrap/>
          </w:tcPr>
          <w:p w14:paraId="1099F7EC" w14:textId="77777777" w:rsidR="00A5797C" w:rsidRPr="007F04F8" w:rsidRDefault="00A5797C" w:rsidP="00BB5FDB">
            <w:pPr>
              <w:pStyle w:val="MDPI42tablebody"/>
              <w:autoSpaceDE w:val="0"/>
              <w:autoSpaceDN w:val="0"/>
              <w:spacing w:line="240" w:lineRule="auto"/>
              <w:rPr>
                <w:rFonts w:eastAsiaTheme="minorEastAsia"/>
                <w:snapToGrid/>
                <w:color w:val="000000" w:themeColor="text1"/>
              </w:rPr>
            </w:pPr>
            <w:r w:rsidRPr="007F04F8">
              <w:rPr>
                <w:rFonts w:eastAsiaTheme="minorEastAsia"/>
                <w:snapToGrid/>
                <w:color w:val="000000" w:themeColor="text1"/>
              </w:rPr>
              <w:t>-3.636</w:t>
            </w:r>
          </w:p>
        </w:tc>
        <w:tc>
          <w:tcPr>
            <w:tcW w:w="1004" w:type="dxa"/>
            <w:tcBorders>
              <w:bottom w:val="single" w:sz="8" w:space="0" w:color="auto"/>
            </w:tcBorders>
            <w:shd w:val="clear" w:color="auto" w:fill="auto"/>
            <w:noWrap/>
          </w:tcPr>
          <w:p w14:paraId="7DC8E1C9" w14:textId="77777777" w:rsidR="00A5797C" w:rsidRPr="007F04F8" w:rsidRDefault="00A5797C" w:rsidP="00BB5FDB">
            <w:pPr>
              <w:pStyle w:val="MDPI42tablebody"/>
              <w:autoSpaceDE w:val="0"/>
              <w:autoSpaceDN w:val="0"/>
              <w:spacing w:line="240" w:lineRule="auto"/>
              <w:rPr>
                <w:rFonts w:eastAsiaTheme="minorEastAsia"/>
                <w:snapToGrid/>
                <w:color w:val="000000" w:themeColor="text1"/>
              </w:rPr>
            </w:pPr>
            <w:r w:rsidRPr="007F04F8">
              <w:rPr>
                <w:rFonts w:eastAsiaTheme="minorEastAsia"/>
                <w:snapToGrid/>
                <w:color w:val="000000" w:themeColor="text1"/>
              </w:rPr>
              <w:t>2.806</w:t>
            </w:r>
          </w:p>
        </w:tc>
        <w:tc>
          <w:tcPr>
            <w:tcW w:w="1004" w:type="dxa"/>
            <w:tcBorders>
              <w:bottom w:val="single" w:sz="8" w:space="0" w:color="auto"/>
            </w:tcBorders>
            <w:shd w:val="clear" w:color="auto" w:fill="auto"/>
            <w:noWrap/>
          </w:tcPr>
          <w:p w14:paraId="1E8AE00C" w14:textId="77777777" w:rsidR="00A5797C" w:rsidRPr="007F04F8" w:rsidRDefault="00A5797C" w:rsidP="00BB5FDB">
            <w:pPr>
              <w:pStyle w:val="MDPI42tablebody"/>
              <w:autoSpaceDE w:val="0"/>
              <w:autoSpaceDN w:val="0"/>
              <w:spacing w:line="240" w:lineRule="auto"/>
              <w:rPr>
                <w:rFonts w:eastAsiaTheme="minorEastAsia"/>
                <w:snapToGrid/>
                <w:color w:val="000000" w:themeColor="text1"/>
              </w:rPr>
            </w:pPr>
            <w:r w:rsidRPr="007F04F8">
              <w:rPr>
                <w:rFonts w:eastAsiaTheme="minorEastAsia"/>
                <w:snapToGrid/>
                <w:color w:val="000000" w:themeColor="text1"/>
              </w:rPr>
              <w:t>1.403</w:t>
            </w:r>
          </w:p>
        </w:tc>
        <w:tc>
          <w:tcPr>
            <w:tcW w:w="1161" w:type="dxa"/>
            <w:tcBorders>
              <w:bottom w:val="single" w:sz="8" w:space="0" w:color="auto"/>
            </w:tcBorders>
            <w:shd w:val="clear" w:color="auto" w:fill="auto"/>
            <w:noWrap/>
          </w:tcPr>
          <w:p w14:paraId="50C1E1EF" w14:textId="77777777" w:rsidR="00A5797C" w:rsidRPr="007F04F8" w:rsidRDefault="00A5797C" w:rsidP="00BB5FDB">
            <w:pPr>
              <w:pStyle w:val="MDPI42tablebody"/>
              <w:autoSpaceDE w:val="0"/>
              <w:autoSpaceDN w:val="0"/>
              <w:spacing w:line="240" w:lineRule="auto"/>
              <w:rPr>
                <w:rFonts w:eastAsiaTheme="minorEastAsia"/>
                <w:snapToGrid/>
                <w:color w:val="000000" w:themeColor="text1"/>
              </w:rPr>
            </w:pPr>
            <w:r w:rsidRPr="007F04F8">
              <w:rPr>
                <w:rFonts w:eastAsiaTheme="minorEastAsia"/>
                <w:snapToGrid/>
                <w:color w:val="000000" w:themeColor="text1"/>
              </w:rPr>
              <w:t>9.049</w:t>
            </w:r>
          </w:p>
        </w:tc>
        <w:tc>
          <w:tcPr>
            <w:tcW w:w="1002" w:type="dxa"/>
            <w:tcBorders>
              <w:bottom w:val="single" w:sz="8" w:space="0" w:color="auto"/>
            </w:tcBorders>
            <w:shd w:val="clear" w:color="auto" w:fill="auto"/>
            <w:noWrap/>
          </w:tcPr>
          <w:p w14:paraId="390562CB" w14:textId="77777777" w:rsidR="00A5797C" w:rsidRPr="007F04F8" w:rsidRDefault="00A5797C" w:rsidP="00BB5FDB">
            <w:pPr>
              <w:pStyle w:val="MDPI42tablebody"/>
              <w:autoSpaceDE w:val="0"/>
              <w:autoSpaceDN w:val="0"/>
              <w:spacing w:line="240" w:lineRule="auto"/>
              <w:rPr>
                <w:rFonts w:eastAsiaTheme="minorEastAsia"/>
                <w:snapToGrid/>
                <w:color w:val="000000" w:themeColor="text1"/>
              </w:rPr>
            </w:pPr>
            <w:r w:rsidRPr="007F04F8">
              <w:rPr>
                <w:rFonts w:eastAsiaTheme="minorEastAsia"/>
                <w:snapToGrid/>
                <w:color w:val="000000" w:themeColor="text1"/>
              </w:rPr>
              <w:t>0.712</w:t>
            </w:r>
          </w:p>
        </w:tc>
        <w:tc>
          <w:tcPr>
            <w:tcW w:w="850" w:type="dxa"/>
            <w:tcBorders>
              <w:bottom w:val="single" w:sz="8" w:space="0" w:color="auto"/>
            </w:tcBorders>
            <w:shd w:val="clear" w:color="auto" w:fill="auto"/>
            <w:noWrap/>
          </w:tcPr>
          <w:p w14:paraId="1EABDED7" w14:textId="77777777" w:rsidR="00A5797C" w:rsidRPr="007F04F8" w:rsidRDefault="00A5797C" w:rsidP="00BB5FDB">
            <w:pPr>
              <w:pStyle w:val="MDPI42tablebody"/>
              <w:autoSpaceDE w:val="0"/>
              <w:autoSpaceDN w:val="0"/>
              <w:spacing w:line="240" w:lineRule="auto"/>
              <w:rPr>
                <w:rFonts w:eastAsiaTheme="minorEastAsia"/>
                <w:snapToGrid/>
                <w:color w:val="000000" w:themeColor="text1"/>
              </w:rPr>
            </w:pPr>
            <w:r w:rsidRPr="007F04F8">
              <w:rPr>
                <w:rFonts w:eastAsiaTheme="minorEastAsia"/>
                <w:snapToGrid/>
                <w:color w:val="000000" w:themeColor="text1"/>
              </w:rPr>
              <w:t>-0.078</w:t>
            </w:r>
          </w:p>
        </w:tc>
        <w:tc>
          <w:tcPr>
            <w:tcW w:w="709" w:type="dxa"/>
            <w:tcBorders>
              <w:bottom w:val="single" w:sz="8" w:space="0" w:color="auto"/>
            </w:tcBorders>
            <w:shd w:val="clear" w:color="auto" w:fill="auto"/>
            <w:noWrap/>
          </w:tcPr>
          <w:p w14:paraId="42909075" w14:textId="77777777" w:rsidR="00A5797C" w:rsidRPr="007F04F8" w:rsidRDefault="00A5797C" w:rsidP="00BB5FDB">
            <w:pPr>
              <w:pStyle w:val="MDPI42tablebody"/>
              <w:autoSpaceDE w:val="0"/>
              <w:autoSpaceDN w:val="0"/>
              <w:spacing w:line="240" w:lineRule="auto"/>
              <w:rPr>
                <w:rFonts w:eastAsiaTheme="minorEastAsia"/>
                <w:snapToGrid/>
                <w:color w:val="000000" w:themeColor="text1"/>
              </w:rPr>
            </w:pPr>
            <w:r w:rsidRPr="007F04F8">
              <w:rPr>
                <w:rFonts w:eastAsiaTheme="minorEastAsia"/>
                <w:snapToGrid/>
                <w:color w:val="000000" w:themeColor="text1"/>
              </w:rPr>
              <w:t>0.110</w:t>
            </w:r>
          </w:p>
        </w:tc>
      </w:tr>
    </w:tbl>
    <w:p w14:paraId="5D12C878" w14:textId="35B7A6B3" w:rsidR="00A5797C" w:rsidRPr="007F04F8" w:rsidRDefault="00A5797C" w:rsidP="00BB5FDB">
      <w:pPr>
        <w:pStyle w:val="MDPI31text"/>
        <w:spacing w:before="240"/>
        <w:ind w:left="0" w:firstLine="720"/>
        <w:rPr>
          <w:color w:val="000000" w:themeColor="text1"/>
        </w:rPr>
      </w:pPr>
      <w:r w:rsidRPr="007F04F8">
        <w:rPr>
          <w:color w:val="000000" w:themeColor="text1"/>
        </w:rPr>
        <w:t>The chemical reactivity and stability of molecules can be discussed in view of their chemical hardness (</w:t>
      </w:r>
      <w:r w:rsidRPr="007F04F8">
        <w:rPr>
          <w:i/>
          <w:iCs/>
          <w:color w:val="000000" w:themeColor="text1"/>
        </w:rPr>
        <w:t>η</w:t>
      </w:r>
      <w:r w:rsidRPr="007F04F8">
        <w:rPr>
          <w:color w:val="000000" w:themeColor="text1"/>
        </w:rPr>
        <w:t>) and softness (</w:t>
      </w:r>
      <w:r w:rsidRPr="007F04F8">
        <w:rPr>
          <w:i/>
          <w:iCs/>
          <w:color w:val="000000" w:themeColor="text1"/>
        </w:rPr>
        <w:t>σ</w:t>
      </w:r>
      <w:r w:rsidRPr="007F04F8">
        <w:rPr>
          <w:color w:val="000000" w:themeColor="text1"/>
        </w:rPr>
        <w:t xml:space="preserve">), which are both correlated with the HOMO-LUMO energy gap (∆E) </w:t>
      </w:r>
      <w:r w:rsidR="00BC15B1" w:rsidRPr="007F04F8">
        <w:rPr>
          <w:color w:val="000000" w:themeColor="text1"/>
        </w:rPr>
        <w:t>[</w:t>
      </w:r>
      <w:r w:rsidR="0071299E" w:rsidRPr="007F04F8">
        <w:rPr>
          <w:color w:val="000000" w:themeColor="text1"/>
        </w:rPr>
        <w:t>72</w:t>
      </w:r>
      <w:r w:rsidR="00BC15B1" w:rsidRPr="007F04F8">
        <w:rPr>
          <w:color w:val="000000" w:themeColor="text1"/>
        </w:rPr>
        <w:t>,</w:t>
      </w:r>
      <w:r w:rsidR="0071299E" w:rsidRPr="007F04F8">
        <w:rPr>
          <w:color w:val="000000" w:themeColor="text1"/>
        </w:rPr>
        <w:t>73</w:t>
      </w:r>
      <w:r w:rsidR="00BC15B1" w:rsidRPr="007F04F8">
        <w:rPr>
          <w:color w:val="000000" w:themeColor="text1"/>
        </w:rPr>
        <w:t>]</w:t>
      </w:r>
      <w:r w:rsidRPr="007F04F8">
        <w:rPr>
          <w:color w:val="000000" w:themeColor="text1"/>
        </w:rPr>
        <w:t xml:space="preserve">. A molecule with a high chemical hardness (high energy gap) will require a lot of energy to undergo chemical changes or </w:t>
      </w:r>
      <w:proofErr w:type="gramStart"/>
      <w:r w:rsidRPr="007F04F8">
        <w:rPr>
          <w:color w:val="000000" w:themeColor="text1"/>
        </w:rPr>
        <w:t>reaction</w:t>
      </w:r>
      <w:proofErr w:type="gramEnd"/>
      <w:r w:rsidRPr="007F04F8">
        <w:rPr>
          <w:color w:val="000000" w:themeColor="text1"/>
        </w:rPr>
        <w:t xml:space="preserve"> with other species because of the higher energy barrier for electron transfer </w:t>
      </w:r>
      <w:r w:rsidR="00BC15B1" w:rsidRPr="007F04F8">
        <w:rPr>
          <w:color w:val="000000" w:themeColor="text1"/>
        </w:rPr>
        <w:t>[</w:t>
      </w:r>
      <w:r w:rsidR="0071299E" w:rsidRPr="007F04F8">
        <w:rPr>
          <w:color w:val="000000" w:themeColor="text1"/>
        </w:rPr>
        <w:t>74</w:t>
      </w:r>
      <w:r w:rsidR="00BC15B1" w:rsidRPr="007F04F8">
        <w:rPr>
          <w:color w:val="000000" w:themeColor="text1"/>
        </w:rPr>
        <w:t>]</w:t>
      </w:r>
      <w:r w:rsidRPr="007F04F8">
        <w:rPr>
          <w:color w:val="000000" w:themeColor="text1"/>
        </w:rPr>
        <w:t xml:space="preserve">. The chemical softness, on the other hand, is the inverse of the chemical hardness, and signifies the molecule’s susceptibility to undergo electron transfer with other chemical species, i.e., nucleophilic attacks </w:t>
      </w:r>
      <w:r w:rsidR="00BC15B1" w:rsidRPr="007F04F8">
        <w:rPr>
          <w:color w:val="000000" w:themeColor="text1"/>
        </w:rPr>
        <w:t>[</w:t>
      </w:r>
      <w:r w:rsidR="0071299E" w:rsidRPr="007F04F8">
        <w:rPr>
          <w:color w:val="000000" w:themeColor="text1"/>
        </w:rPr>
        <w:t>74</w:t>
      </w:r>
      <w:r w:rsidR="00BC15B1" w:rsidRPr="007F04F8">
        <w:rPr>
          <w:color w:val="000000" w:themeColor="text1"/>
        </w:rPr>
        <w:t>]</w:t>
      </w:r>
      <w:r w:rsidRPr="007F04F8">
        <w:rPr>
          <w:color w:val="000000" w:themeColor="text1"/>
        </w:rPr>
        <w:t>. Pearson has been reported that “</w:t>
      </w:r>
      <w:r w:rsidRPr="007F04F8">
        <w:rPr>
          <w:i/>
          <w:iCs/>
          <w:color w:val="000000" w:themeColor="text1"/>
        </w:rPr>
        <w:t>hard molecules have a large HOMO-LUMO energy gap and soft molecules have a small HOMO-LUMO gap</w:t>
      </w:r>
      <w:r w:rsidRPr="007F04F8">
        <w:rPr>
          <w:color w:val="000000" w:themeColor="text1"/>
        </w:rPr>
        <w:t xml:space="preserve">” </w:t>
      </w:r>
      <w:r w:rsidR="00BC15B1" w:rsidRPr="007F04F8">
        <w:rPr>
          <w:color w:val="000000" w:themeColor="text1"/>
        </w:rPr>
        <w:t>[7</w:t>
      </w:r>
      <w:r w:rsidR="0071299E" w:rsidRPr="007F04F8">
        <w:rPr>
          <w:color w:val="000000" w:themeColor="text1"/>
        </w:rPr>
        <w:t>5</w:t>
      </w:r>
      <w:r w:rsidR="00BC15B1" w:rsidRPr="007F04F8">
        <w:rPr>
          <w:color w:val="000000" w:themeColor="text1"/>
        </w:rPr>
        <w:t>]</w:t>
      </w:r>
      <w:r w:rsidRPr="007F04F8">
        <w:rPr>
          <w:color w:val="000000" w:themeColor="text1"/>
        </w:rPr>
        <w:t xml:space="preserve">. According to results in Table </w:t>
      </w:r>
      <w:r w:rsidR="00BC15B1" w:rsidRPr="007F04F8">
        <w:rPr>
          <w:color w:val="000000" w:themeColor="text1"/>
        </w:rPr>
        <w:t>S1</w:t>
      </w:r>
      <w:r w:rsidRPr="007F04F8">
        <w:rPr>
          <w:color w:val="000000" w:themeColor="text1"/>
        </w:rPr>
        <w:t xml:space="preserve">, </w:t>
      </w:r>
      <w:r w:rsidR="00D2066B" w:rsidRPr="007F04F8">
        <w:rPr>
          <w:color w:val="000000" w:themeColor="text1"/>
        </w:rPr>
        <w:t>3POH molecules have very small energy gap values</w:t>
      </w:r>
      <w:r w:rsidR="007C4BDA" w:rsidRPr="007F04F8">
        <w:rPr>
          <w:color w:val="000000" w:themeColor="text1"/>
        </w:rPr>
        <w:t xml:space="preserve">, and therefore, </w:t>
      </w:r>
      <w:r w:rsidRPr="007F04F8">
        <w:rPr>
          <w:color w:val="000000" w:themeColor="text1"/>
        </w:rPr>
        <w:t xml:space="preserve">it can be stated that neutral and protonated 3POH molecules are softer </w:t>
      </w:r>
      <w:r w:rsidRPr="007F04F8">
        <w:rPr>
          <w:color w:val="000000" w:themeColor="text1"/>
        </w:rPr>
        <w:lastRenderedPageBreak/>
        <w:t xml:space="preserve">than 2POH molecules and </w:t>
      </w:r>
      <w:r w:rsidR="00D94AF1" w:rsidRPr="007F04F8">
        <w:rPr>
          <w:color w:val="000000" w:themeColor="text1"/>
        </w:rPr>
        <w:t xml:space="preserve">expected to </w:t>
      </w:r>
      <w:r w:rsidRPr="007F04F8">
        <w:rPr>
          <w:color w:val="000000" w:themeColor="text1"/>
        </w:rPr>
        <w:t>have very low stability, which would increase their reactivity with the iron surface.</w:t>
      </w:r>
    </w:p>
    <w:p w14:paraId="34A17DCF" w14:textId="1B02D42F" w:rsidR="00A5797C" w:rsidRPr="007F04F8" w:rsidRDefault="00A5797C" w:rsidP="00BB5FDB">
      <w:pPr>
        <w:pStyle w:val="MDPI31text"/>
        <w:ind w:left="0" w:firstLine="720"/>
        <w:rPr>
          <w:color w:val="000000" w:themeColor="text1"/>
        </w:rPr>
      </w:pPr>
      <w:r w:rsidRPr="007F04F8">
        <w:rPr>
          <w:color w:val="000000" w:themeColor="text1"/>
        </w:rPr>
        <w:t xml:space="preserve">Nucleophilicity (ε) and electrophilicity (ω) are two concepts that describe the ability of an electron-rich molecule to donate electrons and an electron-deficient molecule to accept electrons, respectively </w:t>
      </w:r>
      <w:r w:rsidR="00BC15B1" w:rsidRPr="007F04F8">
        <w:rPr>
          <w:color w:val="000000" w:themeColor="text1"/>
        </w:rPr>
        <w:t>[</w:t>
      </w:r>
      <w:r w:rsidR="0071299E" w:rsidRPr="007F04F8">
        <w:rPr>
          <w:color w:val="000000" w:themeColor="text1"/>
        </w:rPr>
        <w:t>74</w:t>
      </w:r>
      <w:r w:rsidR="00BC15B1" w:rsidRPr="007F04F8">
        <w:rPr>
          <w:color w:val="000000" w:themeColor="text1"/>
        </w:rPr>
        <w:t>]</w:t>
      </w:r>
      <w:r w:rsidRPr="007F04F8">
        <w:rPr>
          <w:color w:val="000000" w:themeColor="text1"/>
        </w:rPr>
        <w:t xml:space="preserve">. However, despite having similar concepts, these two parameters are not necessarily related to HOMO and LUMO energies given the contribution of other factors such as steric hinderance and the presence of functional groups. From results in Table </w:t>
      </w:r>
      <w:r w:rsidR="00BC15B1" w:rsidRPr="007F04F8">
        <w:rPr>
          <w:color w:val="000000" w:themeColor="text1"/>
        </w:rPr>
        <w:t>S1</w:t>
      </w:r>
      <w:r w:rsidRPr="007F04F8">
        <w:rPr>
          <w:color w:val="000000" w:themeColor="text1"/>
        </w:rPr>
        <w:t>, it can be observed that the neutral form of 3POH has a very high electrophilicity compared to 2POH molecule while the opposite is noticed in the case of nucleophilicity. In their protonated forms, both molecules exhibit similar nucleophilicity and electrophilicity indexes.</w:t>
      </w:r>
    </w:p>
    <w:p w14:paraId="32643C5A" w14:textId="1EDA34BE" w:rsidR="00A5797C" w:rsidRPr="007F04F8" w:rsidRDefault="00A5797C" w:rsidP="00BB5FDB">
      <w:pPr>
        <w:pStyle w:val="MDPI31text"/>
        <w:ind w:left="0" w:firstLine="720"/>
        <w:rPr>
          <w:color w:val="000000" w:themeColor="text1"/>
        </w:rPr>
      </w:pPr>
      <w:r w:rsidRPr="007F04F8">
        <w:rPr>
          <w:color w:val="000000" w:themeColor="text1"/>
        </w:rPr>
        <w:t xml:space="preserve">The fraction of electrons transferred (ΔN) is one of the well-known reactivity descriptors to describe the tendency of molecules to transfer their electrons to a metal surface. It has been reported that a positive ΔN value implies the ability of the molecule to transfer its electrons and vice versa when it is negative </w:t>
      </w:r>
      <w:r w:rsidR="00BC15B1" w:rsidRPr="007F04F8">
        <w:rPr>
          <w:color w:val="000000" w:themeColor="text1"/>
        </w:rPr>
        <w:t>[</w:t>
      </w:r>
      <w:r w:rsidR="0071299E" w:rsidRPr="007F04F8">
        <w:rPr>
          <w:color w:val="000000" w:themeColor="text1"/>
        </w:rPr>
        <w:t>76</w:t>
      </w:r>
      <w:r w:rsidR="00BC15B1" w:rsidRPr="007F04F8">
        <w:rPr>
          <w:color w:val="000000" w:themeColor="text1"/>
        </w:rPr>
        <w:t>,</w:t>
      </w:r>
      <w:r w:rsidR="0071299E" w:rsidRPr="007F04F8">
        <w:rPr>
          <w:color w:val="000000" w:themeColor="text1"/>
        </w:rPr>
        <w:t>77</w:t>
      </w:r>
      <w:r w:rsidR="00BC15B1" w:rsidRPr="007F04F8">
        <w:rPr>
          <w:color w:val="000000" w:themeColor="text1"/>
        </w:rPr>
        <w:t>]</w:t>
      </w:r>
      <w:r w:rsidRPr="007F04F8">
        <w:rPr>
          <w:color w:val="000000" w:themeColor="text1"/>
        </w:rPr>
        <w:t xml:space="preserve">. In the case of the present investigation, the calculated </w:t>
      </w:r>
      <w:r w:rsidRPr="007F04F8">
        <w:rPr>
          <w:rFonts w:hint="eastAsia"/>
          <w:color w:val="000000" w:themeColor="text1"/>
        </w:rPr>
        <w:t>Δ</w:t>
      </w:r>
      <w:r w:rsidRPr="007F04F8">
        <w:rPr>
          <w:color w:val="000000" w:themeColor="text1"/>
        </w:rPr>
        <w:t>N values indicate that the 2POH molecule has a more tendency to transfer its electron to the iron surface while the 3POH shows the opposite behavior. Therefore, it can be inferred that this parameter is unable to predict the same adsorption strength and bonding of tested compounds with the iron surface as revealed from experimental and simulation results.</w:t>
      </w:r>
    </w:p>
    <w:p w14:paraId="2E4DF7C9" w14:textId="7E6389A4" w:rsidR="00A5797C" w:rsidRPr="007F04F8" w:rsidRDefault="00A5797C" w:rsidP="00BB5FDB">
      <w:pPr>
        <w:pStyle w:val="MDPI31text"/>
        <w:ind w:left="0" w:firstLine="720"/>
        <w:rPr>
          <w:color w:val="000000" w:themeColor="text1"/>
        </w:rPr>
      </w:pPr>
      <w:r w:rsidRPr="007F04F8">
        <w:rPr>
          <w:color w:val="000000" w:themeColor="text1"/>
        </w:rPr>
        <w:t>According to quantum chemical parameters, it can be concluded that the reactivity of the investigated molecules can be successfully predicted based on "Hard-Soft-Acid-Base" (HSAB) principles. Based on this theory, it is found that the reactivity of both neutral and protonated molecules follows this trend: 3POH &gt; 3POH</w:t>
      </w:r>
      <w:r w:rsidRPr="007F04F8">
        <w:rPr>
          <w:color w:val="000000" w:themeColor="text1"/>
          <w:vertAlign w:val="superscript"/>
        </w:rPr>
        <w:t>+</w:t>
      </w:r>
      <w:r w:rsidRPr="007F04F8">
        <w:rPr>
          <w:color w:val="000000" w:themeColor="text1"/>
        </w:rPr>
        <w:t xml:space="preserve"> &gt; 2POH+ &gt; 2POH, which is in line with the reactivity trend derived from SCC-DFTB simulations. The 3POH molecules are softer species and have low stability, and therefore tend to undergo electron transfer with electron-deficient iron atoms. It should be noted that there is no significant correlation between other quantum chemical parameters and experimental performance.</w:t>
      </w:r>
    </w:p>
    <w:p w14:paraId="0027942B" w14:textId="564D4F2A" w:rsidR="00A5797C" w:rsidRPr="007F04F8" w:rsidRDefault="00454049" w:rsidP="00BB5FDB">
      <w:pPr>
        <w:pStyle w:val="MDPI23heading3"/>
        <w:spacing w:before="240"/>
        <w:ind w:left="0"/>
        <w:rPr>
          <w:color w:val="000000" w:themeColor="text1"/>
        </w:rPr>
      </w:pPr>
      <w:r w:rsidRPr="007F04F8">
        <w:rPr>
          <w:color w:val="000000" w:themeColor="text1"/>
        </w:rPr>
        <w:t xml:space="preserve">2.3.2. </w:t>
      </w:r>
      <w:r w:rsidR="00A5797C" w:rsidRPr="007F04F8">
        <w:rPr>
          <w:color w:val="000000" w:themeColor="text1"/>
        </w:rPr>
        <w:t>Local reactivity descriptors</w:t>
      </w:r>
    </w:p>
    <w:p w14:paraId="096BE74D" w14:textId="0F0423C4" w:rsidR="00A5797C" w:rsidRPr="007F04F8" w:rsidRDefault="00A5797C" w:rsidP="00BB5FDB">
      <w:pPr>
        <w:pStyle w:val="MDPI31text"/>
        <w:ind w:left="0" w:firstLine="720"/>
        <w:rPr>
          <w:color w:val="000000" w:themeColor="text1"/>
        </w:rPr>
      </w:pPr>
      <w:r w:rsidRPr="007F04F8">
        <w:rPr>
          <w:color w:val="000000" w:themeColor="text1"/>
        </w:rPr>
        <w:t xml:space="preserve">Given the fact that the corrosion inhibition process is mostly electron-transfer controlled reactions, the investigation of local reactivity of molecules would lead to very beneficial conclusions about their interactions with iron atoms. Fukui functions, which has been introduced by Kenichi Fukui, are one of the well-recognized local reactivity descriptors </w:t>
      </w:r>
      <w:r w:rsidR="00BC15B1" w:rsidRPr="007F04F8">
        <w:rPr>
          <w:color w:val="000000" w:themeColor="text1"/>
        </w:rPr>
        <w:t>[</w:t>
      </w:r>
      <w:r w:rsidR="0071299E" w:rsidRPr="007F04F8">
        <w:rPr>
          <w:color w:val="000000" w:themeColor="text1"/>
        </w:rPr>
        <w:t>78</w:t>
      </w:r>
      <w:r w:rsidR="00BC15B1" w:rsidRPr="007F04F8">
        <w:rPr>
          <w:color w:val="000000" w:themeColor="text1"/>
        </w:rPr>
        <w:t>]</w:t>
      </w:r>
      <w:r w:rsidRPr="007F04F8">
        <w:rPr>
          <w:color w:val="000000" w:themeColor="text1"/>
        </w:rPr>
        <w:t xml:space="preserve">. This theory describes the behavior of electrons in a molecule when it undergoes a small perturbation </w:t>
      </w:r>
      <w:r w:rsidR="00BC15B1" w:rsidRPr="007F04F8">
        <w:rPr>
          <w:color w:val="000000" w:themeColor="text1"/>
        </w:rPr>
        <w:t>[</w:t>
      </w:r>
      <w:r w:rsidR="0071299E" w:rsidRPr="007F04F8">
        <w:rPr>
          <w:color w:val="000000" w:themeColor="text1"/>
        </w:rPr>
        <w:t>79</w:t>
      </w:r>
      <w:r w:rsidR="00BC15B1" w:rsidRPr="007F04F8">
        <w:rPr>
          <w:color w:val="000000" w:themeColor="text1"/>
        </w:rPr>
        <w:t>]</w:t>
      </w:r>
      <w:r w:rsidRPr="007F04F8">
        <w:rPr>
          <w:color w:val="000000" w:themeColor="text1"/>
        </w:rPr>
        <w:t xml:space="preserve">. Therefore, according to Fukui functions, it can be specified which atoms or a region in a molecule would act as nucleophilic site (electron donating tendency) or electrophilic site (electron accepting tendency). Fukui function indices of neutral and protonated pyridine oxime molecules are grouped in Figure </w:t>
      </w:r>
      <w:r w:rsidR="00BC15B1" w:rsidRPr="007F04F8">
        <w:rPr>
          <w:color w:val="000000" w:themeColor="text1"/>
        </w:rPr>
        <w:t>S3</w:t>
      </w:r>
      <w:r w:rsidRPr="007F04F8">
        <w:rPr>
          <w:color w:val="000000" w:themeColor="text1"/>
        </w:rPr>
        <w:t xml:space="preserve">. The site where the </w:t>
      </w:r>
      <m:oMath>
        <m:sSubSup>
          <m:sSubSupPr>
            <m:ctrlPr>
              <w:rPr>
                <w:rFonts w:ascii="Cambria Math" w:hAnsi="Cambria Math"/>
                <w:i/>
                <w:color w:val="000000" w:themeColor="text1"/>
              </w:rPr>
            </m:ctrlPr>
          </m:sSubSupPr>
          <m:e>
            <m:r>
              <w:rPr>
                <w:rFonts w:ascii="Cambria Math" w:hAnsi="Cambria Math"/>
                <w:color w:val="000000" w:themeColor="text1"/>
              </w:rPr>
              <m:t>f</m:t>
            </m:r>
          </m:e>
          <m:sub>
            <m:r>
              <w:rPr>
                <w:rFonts w:ascii="Cambria Math" w:hAnsi="Cambria Math"/>
                <w:color w:val="000000" w:themeColor="text1"/>
              </w:rPr>
              <m:t>k</m:t>
            </m:r>
          </m:sub>
          <m:sup>
            <m:r>
              <w:rPr>
                <w:rFonts w:ascii="Cambria Math" w:hAnsi="Cambria Math"/>
                <w:color w:val="000000" w:themeColor="text1"/>
              </w:rPr>
              <m:t>+</m:t>
            </m:r>
          </m:sup>
        </m:sSubSup>
      </m:oMath>
      <w:r w:rsidRPr="007F04F8">
        <w:rPr>
          <w:color w:val="000000" w:themeColor="text1"/>
        </w:rPr>
        <w:t xml:space="preserve"> is maximum indicates a high electrophilic property (susceptible to nucleophilic attacks) while the highest </w:t>
      </w:r>
      <m:oMath>
        <m:sSubSup>
          <m:sSubSupPr>
            <m:ctrlPr>
              <w:rPr>
                <w:rFonts w:ascii="Cambria Math" w:hAnsi="Cambria Math"/>
                <w:i/>
                <w:color w:val="000000" w:themeColor="text1"/>
              </w:rPr>
            </m:ctrlPr>
          </m:sSubSupPr>
          <m:e>
            <m:r>
              <w:rPr>
                <w:rFonts w:ascii="Cambria Math" w:hAnsi="Cambria Math"/>
                <w:color w:val="000000" w:themeColor="text1"/>
              </w:rPr>
              <m:t>f</m:t>
            </m:r>
          </m:e>
          <m:sub>
            <m:r>
              <w:rPr>
                <w:rFonts w:ascii="Cambria Math" w:hAnsi="Cambria Math"/>
                <w:color w:val="000000" w:themeColor="text1"/>
              </w:rPr>
              <m:t>k</m:t>
            </m:r>
          </m:sub>
          <m:sup>
            <m:r>
              <w:rPr>
                <w:rFonts w:ascii="Cambria Math" w:hAnsi="Cambria Math"/>
                <w:color w:val="000000" w:themeColor="text1"/>
              </w:rPr>
              <m:t>-</m:t>
            </m:r>
          </m:sup>
        </m:sSubSup>
      </m:oMath>
      <w:r w:rsidRPr="007F04F8">
        <w:rPr>
          <w:color w:val="000000" w:themeColor="text1"/>
        </w:rPr>
        <w:t xml:space="preserve"> means that the atomic site has a high nucleophilic character (susceptible to electrophilic attacks) </w:t>
      </w:r>
      <w:r w:rsidR="00BC15B1" w:rsidRPr="007F04F8">
        <w:rPr>
          <w:color w:val="000000" w:themeColor="text1"/>
        </w:rPr>
        <w:t>[</w:t>
      </w:r>
      <w:r w:rsidR="0071299E" w:rsidRPr="007F04F8">
        <w:rPr>
          <w:color w:val="000000" w:themeColor="text1"/>
        </w:rPr>
        <w:t>77</w:t>
      </w:r>
      <w:r w:rsidR="00BC15B1" w:rsidRPr="007F04F8">
        <w:rPr>
          <w:color w:val="000000" w:themeColor="text1"/>
        </w:rPr>
        <w:t>]</w:t>
      </w:r>
      <w:r w:rsidRPr="007F04F8">
        <w:rPr>
          <w:color w:val="000000" w:themeColor="text1"/>
        </w:rPr>
        <w:t xml:space="preserve">. Besides, Morell et al. have proposed a reactivity descriptor called dual descriptor to adequately describe the chemical reactivity of molecules given the fact that a molecule may act like a nucleophile and electrophile at the same time </w:t>
      </w:r>
      <w:r w:rsidR="00BC15B1" w:rsidRPr="007F04F8">
        <w:rPr>
          <w:color w:val="000000" w:themeColor="text1"/>
        </w:rPr>
        <w:t>[</w:t>
      </w:r>
      <w:r w:rsidR="00777178">
        <w:rPr>
          <w:color w:val="000000" w:themeColor="text1"/>
        </w:rPr>
        <w:t>79</w:t>
      </w:r>
      <w:r w:rsidR="00BC15B1" w:rsidRPr="007F04F8">
        <w:rPr>
          <w:color w:val="000000" w:themeColor="text1"/>
        </w:rPr>
        <w:t>]</w:t>
      </w:r>
      <w:r w:rsidRPr="007F04F8">
        <w:rPr>
          <w:color w:val="000000" w:themeColor="text1"/>
        </w:rPr>
        <w:t xml:space="preserve">. From results in Figure </w:t>
      </w:r>
      <w:r w:rsidR="00BC15B1" w:rsidRPr="007F04F8">
        <w:rPr>
          <w:color w:val="000000" w:themeColor="text1"/>
        </w:rPr>
        <w:t>S3</w:t>
      </w:r>
      <w:r w:rsidRPr="007F04F8">
        <w:rPr>
          <w:color w:val="000000" w:themeColor="text1"/>
        </w:rPr>
        <w:t xml:space="preserve">, one can notice that all atoms of 3POH molecule have almost equal electrophilic and nucleophilic properties. The </w:t>
      </w:r>
      <w:proofErr w:type="gramStart"/>
      <w:r w:rsidRPr="007F04F8">
        <w:rPr>
          <w:color w:val="000000" w:themeColor="text1"/>
        </w:rPr>
        <w:t>C(</w:t>
      </w:r>
      <w:proofErr w:type="gramEnd"/>
      <w:r w:rsidRPr="007F04F8">
        <w:rPr>
          <w:color w:val="000000" w:themeColor="text1"/>
        </w:rPr>
        <w:t xml:space="preserve">4) atom, which is found to covalently bond with iron atoms, exhibits the highest reactivity followed by N(5) while all other atoms have similar reactivity characteristics. In the case of 2POH, the distribution of nucleophilic and electrophilic sites is significantly different. The reactivity of </w:t>
      </w:r>
      <w:proofErr w:type="gramStart"/>
      <w:r w:rsidRPr="007F04F8">
        <w:rPr>
          <w:color w:val="000000" w:themeColor="text1"/>
        </w:rPr>
        <w:t>C(</w:t>
      </w:r>
      <w:proofErr w:type="gramEnd"/>
      <w:r w:rsidRPr="007F04F8">
        <w:rPr>
          <w:color w:val="000000" w:themeColor="text1"/>
        </w:rPr>
        <w:t xml:space="preserve">4) and N(5) is now considerably decreased while N(8) and O(14) atoms exhibit higher electrophilic and nucleophilic properties, respectively. When the 3POH gets protonated, the reactivity of </w:t>
      </w:r>
      <w:proofErr w:type="gramStart"/>
      <w:r w:rsidRPr="007F04F8">
        <w:rPr>
          <w:color w:val="000000" w:themeColor="text1"/>
        </w:rPr>
        <w:t>C(</w:t>
      </w:r>
      <w:proofErr w:type="gramEnd"/>
      <w:r w:rsidRPr="007F04F8">
        <w:rPr>
          <w:color w:val="000000" w:themeColor="text1"/>
        </w:rPr>
        <w:t>4) and N(5) is drastically decreased, with slight improvement in reactivity of C(7), N(8) and O(13) atoms. In the case of the 2POH</w:t>
      </w:r>
      <w:r w:rsidRPr="007F04F8">
        <w:rPr>
          <w:color w:val="000000" w:themeColor="text1"/>
          <w:vertAlign w:val="superscript"/>
        </w:rPr>
        <w:t>+</w:t>
      </w:r>
      <w:r w:rsidRPr="007F04F8">
        <w:rPr>
          <w:color w:val="000000" w:themeColor="text1"/>
        </w:rPr>
        <w:t xml:space="preserve"> molecule, its electrophilic and nucleophilic characteristics are remarkably improved, but without changes in reactive sites distribution. Overall, results show that 3POH molecules have some strong reactive sites compared to 2POH molecules, which have almost equal distribution of reactive sites. Also, it </w:t>
      </w:r>
      <w:r w:rsidRPr="007F04F8">
        <w:rPr>
          <w:color w:val="000000" w:themeColor="text1"/>
        </w:rPr>
        <w:lastRenderedPageBreak/>
        <w:t>can be noticed that 2POH molecules’ reactivity gets improved after protonation, which can explain their strong bonding ability with the iron surface. However, it is worth noting that it would be difficult to predict the binding sites of molecules for interaction with iron atoms from these near-equally distributed reactive sites.</w:t>
      </w:r>
    </w:p>
    <w:p w14:paraId="0B9538DD" w14:textId="77777777" w:rsidR="00A5797C" w:rsidRPr="007F04F8" w:rsidRDefault="00A5797C" w:rsidP="00D07966">
      <w:pPr>
        <w:pStyle w:val="MDPI52figure"/>
      </w:pPr>
      <w:r w:rsidRPr="007F04F8">
        <w:rPr>
          <w:noProof/>
        </w:rPr>
        <w:drawing>
          <wp:inline distT="0" distB="0" distL="0" distR="0" wp14:anchorId="681C0D47" wp14:editId="173641CD">
            <wp:extent cx="4874496" cy="3739939"/>
            <wp:effectExtent l="0" t="0" r="2540" b="0"/>
            <wp:docPr id="13" name="Picture 13" descr="A picture containing text, writing implement, stationary, penci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Picture 13" descr="A picture containing text, writing implement, stationary, pencil&#10;&#10;Description automatically generated"/>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4910401" cy="3767487"/>
                    </a:xfrm>
                    <a:prstGeom prst="rect">
                      <a:avLst/>
                    </a:prstGeom>
                    <a:noFill/>
                    <a:ln>
                      <a:noFill/>
                    </a:ln>
                  </pic:spPr>
                </pic:pic>
              </a:graphicData>
            </a:graphic>
          </wp:inline>
        </w:drawing>
      </w:r>
    </w:p>
    <w:p w14:paraId="0780D8EA" w14:textId="0AE1CAFE" w:rsidR="00BC15B1" w:rsidRPr="007F04F8" w:rsidRDefault="00454049" w:rsidP="00BB5FDB">
      <w:pPr>
        <w:pStyle w:val="MDPI52figure"/>
        <w:jc w:val="both"/>
        <w:rPr>
          <w:color w:val="000000" w:themeColor="text1"/>
        </w:rPr>
      </w:pPr>
      <w:r w:rsidRPr="007F04F8">
        <w:rPr>
          <w:b/>
          <w:color w:val="000000" w:themeColor="text1"/>
        </w:rPr>
        <w:t xml:space="preserve">Figure S3. </w:t>
      </w:r>
      <w:r w:rsidR="00A5797C" w:rsidRPr="007F04F8">
        <w:rPr>
          <w:color w:val="000000" w:themeColor="text1"/>
        </w:rPr>
        <w:t>Fukui function indices of neutral and protonated pyridine oximes obtained by DFT/GGA method; (a) 2POH, (b) 3POH, (c) 2POH</w:t>
      </w:r>
      <w:r w:rsidR="00A5797C" w:rsidRPr="007F04F8">
        <w:rPr>
          <w:color w:val="000000" w:themeColor="text1"/>
          <w:vertAlign w:val="superscript"/>
        </w:rPr>
        <w:t>+</w:t>
      </w:r>
      <w:r w:rsidR="00A5797C" w:rsidRPr="007F04F8">
        <w:rPr>
          <w:color w:val="000000" w:themeColor="text1"/>
        </w:rPr>
        <w:t>, and 3POH</w:t>
      </w:r>
      <w:r w:rsidR="00A5797C" w:rsidRPr="007F04F8">
        <w:rPr>
          <w:color w:val="000000" w:themeColor="text1"/>
          <w:vertAlign w:val="superscript"/>
        </w:rPr>
        <w:t>+</w:t>
      </w:r>
      <w:r w:rsidR="00A5797C" w:rsidRPr="007F04F8">
        <w:rPr>
          <w:color w:val="000000" w:themeColor="text1"/>
        </w:rPr>
        <w:t>.</w:t>
      </w:r>
    </w:p>
    <w:p w14:paraId="3C30A9DE" w14:textId="406635F5" w:rsidR="00BC15B1" w:rsidRPr="007F04F8" w:rsidRDefault="00BC15B1" w:rsidP="00BB5FDB">
      <w:pPr>
        <w:spacing w:after="100" w:afterAutospacing="1"/>
        <w:rPr>
          <w:b/>
          <w:bCs/>
          <w:color w:val="000000" w:themeColor="text1"/>
        </w:rPr>
      </w:pPr>
      <w:r w:rsidRPr="007F04F8">
        <w:rPr>
          <w:b/>
          <w:bCs/>
          <w:color w:val="000000" w:themeColor="text1"/>
        </w:rPr>
        <w:t>References</w:t>
      </w:r>
    </w:p>
    <w:p w14:paraId="3B5B8971" w14:textId="78325826" w:rsidR="00933705" w:rsidRPr="00933705" w:rsidRDefault="00BC15B1" w:rsidP="00933705">
      <w:pPr>
        <w:pStyle w:val="Bibliography"/>
        <w:numPr>
          <w:ilvl w:val="0"/>
          <w:numId w:val="4"/>
        </w:numPr>
        <w:tabs>
          <w:tab w:val="clear" w:pos="504"/>
        </w:tabs>
        <w:adjustRightInd w:val="0"/>
        <w:snapToGrid w:val="0"/>
        <w:spacing w:line="228" w:lineRule="auto"/>
        <w:ind w:left="425" w:hanging="425"/>
        <w:rPr>
          <w:color w:val="000000" w:themeColor="text1"/>
          <w:sz w:val="18"/>
        </w:rPr>
      </w:pPr>
      <w:r w:rsidRPr="00933705">
        <w:rPr>
          <w:color w:val="000000" w:themeColor="text1"/>
          <w:sz w:val="18"/>
        </w:rPr>
        <w:t xml:space="preserve">Obot, I.B.; Macdonald, D.D.; Gasem, Z.M. Density Functional Theory (DFT) as a Powerful Tool for Designing New Organic Corrosion Inhibitors. Part 1: An Overview. </w:t>
      </w:r>
      <w:r w:rsidRPr="00933705">
        <w:rPr>
          <w:i/>
          <w:iCs/>
          <w:color w:val="000000" w:themeColor="text1"/>
          <w:sz w:val="18"/>
        </w:rPr>
        <w:t>Corrosion Science</w:t>
      </w:r>
      <w:r w:rsidRPr="00933705">
        <w:rPr>
          <w:color w:val="000000" w:themeColor="text1"/>
          <w:sz w:val="18"/>
        </w:rPr>
        <w:t xml:space="preserve"> </w:t>
      </w:r>
      <w:r w:rsidRPr="00933705">
        <w:rPr>
          <w:b/>
          <w:bCs/>
          <w:color w:val="000000" w:themeColor="text1"/>
          <w:sz w:val="18"/>
        </w:rPr>
        <w:t>2015</w:t>
      </w:r>
      <w:r w:rsidRPr="00933705">
        <w:rPr>
          <w:color w:val="000000" w:themeColor="text1"/>
          <w:sz w:val="18"/>
        </w:rPr>
        <w:t xml:space="preserve">, </w:t>
      </w:r>
      <w:r w:rsidRPr="00933705">
        <w:rPr>
          <w:i/>
          <w:iCs/>
          <w:color w:val="000000" w:themeColor="text1"/>
          <w:sz w:val="18"/>
        </w:rPr>
        <w:t>99</w:t>
      </w:r>
      <w:r w:rsidRPr="00933705">
        <w:rPr>
          <w:color w:val="000000" w:themeColor="text1"/>
          <w:sz w:val="18"/>
        </w:rPr>
        <w:t>, 1–30, doi:10.1016/j.corsci.2015.01.037.</w:t>
      </w:r>
    </w:p>
    <w:p w14:paraId="07AF04FB" w14:textId="17D401F3" w:rsidR="00933705" w:rsidRPr="00933705" w:rsidRDefault="00933705" w:rsidP="00933705">
      <w:pPr>
        <w:pStyle w:val="Bibliography"/>
        <w:numPr>
          <w:ilvl w:val="0"/>
          <w:numId w:val="5"/>
        </w:numPr>
        <w:tabs>
          <w:tab w:val="clear" w:pos="504"/>
        </w:tabs>
        <w:adjustRightInd w:val="0"/>
        <w:snapToGrid w:val="0"/>
        <w:spacing w:line="228" w:lineRule="auto"/>
        <w:ind w:left="425" w:hanging="425"/>
        <w:rPr>
          <w:color w:val="000000" w:themeColor="text1"/>
          <w:sz w:val="18"/>
        </w:rPr>
      </w:pPr>
      <w:r w:rsidRPr="00933705">
        <w:rPr>
          <w:color w:val="000000" w:themeColor="text1"/>
          <w:sz w:val="18"/>
          <w:szCs w:val="18"/>
        </w:rPr>
        <w:t xml:space="preserve">Saha, S.K.; Murmu, M.; Murmu, N.C.; Banerjee, P. Evaluating Electronic Structure of Quinazolinone and Pyrimidinone Molecules for Its Corrosion Inhibition Effectiveness on Target Specific Mild Steel in the Acidic Medium: A Combined DFT and MD Simulation Study. </w:t>
      </w:r>
      <w:r w:rsidRPr="00933705">
        <w:rPr>
          <w:i/>
          <w:color w:val="000000" w:themeColor="text1"/>
          <w:sz w:val="18"/>
          <w:szCs w:val="18"/>
        </w:rPr>
        <w:t xml:space="preserve">J. Mol. Liq. </w:t>
      </w:r>
      <w:r w:rsidRPr="00933705">
        <w:rPr>
          <w:b/>
          <w:bCs/>
          <w:color w:val="000000" w:themeColor="text1"/>
          <w:sz w:val="18"/>
          <w:szCs w:val="18"/>
        </w:rPr>
        <w:t>2016</w:t>
      </w:r>
      <w:r w:rsidRPr="00933705">
        <w:rPr>
          <w:color w:val="000000" w:themeColor="text1"/>
          <w:sz w:val="18"/>
          <w:szCs w:val="18"/>
        </w:rPr>
        <w:t xml:space="preserve">, </w:t>
      </w:r>
      <w:r w:rsidRPr="00933705">
        <w:rPr>
          <w:i/>
          <w:iCs/>
          <w:color w:val="000000" w:themeColor="text1"/>
          <w:sz w:val="18"/>
          <w:szCs w:val="18"/>
        </w:rPr>
        <w:t>224</w:t>
      </w:r>
      <w:r w:rsidRPr="00933705">
        <w:rPr>
          <w:color w:val="000000" w:themeColor="text1"/>
          <w:sz w:val="18"/>
          <w:szCs w:val="18"/>
        </w:rPr>
        <w:t>, 629–638. https://doi.org/10.1016/j.molliq.2016.09.110.</w:t>
      </w:r>
    </w:p>
    <w:p w14:paraId="605ED657" w14:textId="77777777" w:rsidR="00933705" w:rsidRPr="00933705" w:rsidRDefault="00933705" w:rsidP="00933705">
      <w:pPr>
        <w:pStyle w:val="Bibliography"/>
        <w:numPr>
          <w:ilvl w:val="0"/>
          <w:numId w:val="5"/>
        </w:numPr>
        <w:tabs>
          <w:tab w:val="clear" w:pos="504"/>
        </w:tabs>
        <w:adjustRightInd w:val="0"/>
        <w:snapToGrid w:val="0"/>
        <w:spacing w:line="228" w:lineRule="auto"/>
        <w:ind w:left="425" w:hanging="425"/>
        <w:rPr>
          <w:color w:val="000000" w:themeColor="text1"/>
          <w:sz w:val="18"/>
          <w:szCs w:val="18"/>
        </w:rPr>
      </w:pPr>
      <w:r w:rsidRPr="00933705">
        <w:rPr>
          <w:color w:val="000000" w:themeColor="text1"/>
          <w:sz w:val="18"/>
          <w:szCs w:val="18"/>
        </w:rPr>
        <w:t xml:space="preserve">Saha, S.K.; Murmu, M.; Murmu, N.C.; Banerjee, P. Benzothiazolylhydrazine Azomethine Derivatives for Efficient Corrosion Inhibition of Mild Steel in Acidic Environment: Integrated Experimental and Density Functional Theory Cum Molecular Dynamics Simulation Approach. </w:t>
      </w:r>
      <w:r w:rsidRPr="00933705">
        <w:rPr>
          <w:i/>
          <w:color w:val="000000" w:themeColor="text1"/>
          <w:sz w:val="18"/>
          <w:szCs w:val="18"/>
        </w:rPr>
        <w:t xml:space="preserve">J. Mol. Liq. </w:t>
      </w:r>
      <w:r w:rsidRPr="00933705">
        <w:rPr>
          <w:b/>
          <w:bCs/>
          <w:color w:val="000000" w:themeColor="text1"/>
          <w:sz w:val="18"/>
          <w:szCs w:val="18"/>
        </w:rPr>
        <w:t>2022</w:t>
      </w:r>
      <w:r w:rsidRPr="00933705">
        <w:rPr>
          <w:color w:val="000000" w:themeColor="text1"/>
          <w:sz w:val="18"/>
          <w:szCs w:val="18"/>
        </w:rPr>
        <w:t xml:space="preserve">, </w:t>
      </w:r>
      <w:r w:rsidRPr="00933705">
        <w:rPr>
          <w:i/>
          <w:iCs/>
          <w:color w:val="000000" w:themeColor="text1"/>
          <w:sz w:val="18"/>
          <w:szCs w:val="18"/>
        </w:rPr>
        <w:t>364</w:t>
      </w:r>
      <w:r w:rsidRPr="00933705">
        <w:rPr>
          <w:color w:val="000000" w:themeColor="text1"/>
          <w:sz w:val="18"/>
          <w:szCs w:val="18"/>
        </w:rPr>
        <w:t>, 120033. https://doi.org/10.1016/j.molliq.2022.120033.</w:t>
      </w:r>
    </w:p>
    <w:p w14:paraId="3151BA8C" w14:textId="77777777" w:rsidR="00933705" w:rsidRPr="00933705" w:rsidRDefault="00933705" w:rsidP="00933705">
      <w:pPr>
        <w:pStyle w:val="Bibliography"/>
        <w:numPr>
          <w:ilvl w:val="0"/>
          <w:numId w:val="5"/>
        </w:numPr>
        <w:tabs>
          <w:tab w:val="clear" w:pos="504"/>
        </w:tabs>
        <w:adjustRightInd w:val="0"/>
        <w:snapToGrid w:val="0"/>
        <w:spacing w:line="228" w:lineRule="auto"/>
        <w:ind w:left="425" w:hanging="425"/>
        <w:rPr>
          <w:color w:val="000000" w:themeColor="text1"/>
          <w:sz w:val="18"/>
          <w:szCs w:val="18"/>
        </w:rPr>
      </w:pPr>
      <w:r w:rsidRPr="00933705">
        <w:rPr>
          <w:color w:val="000000" w:themeColor="text1"/>
          <w:sz w:val="18"/>
          <w:szCs w:val="18"/>
        </w:rPr>
        <w:t xml:space="preserve">Isin, D.O.; Karakus, N. Quantum Chemical Study on the Inhibition Efficiencies of Some Sym-Triazines as Inhibitors for Mild Steel in Acidic Medium. </w:t>
      </w:r>
      <w:r w:rsidRPr="00933705">
        <w:rPr>
          <w:i/>
          <w:color w:val="000000" w:themeColor="text1"/>
          <w:sz w:val="18"/>
          <w:szCs w:val="18"/>
        </w:rPr>
        <w:t xml:space="preserve">J. </w:t>
      </w:r>
      <w:r w:rsidRPr="00933705">
        <w:rPr>
          <w:i/>
          <w:iCs/>
          <w:color w:val="000000" w:themeColor="text1"/>
          <w:sz w:val="18"/>
          <w:szCs w:val="18"/>
        </w:rPr>
        <w:t xml:space="preserve">Taiwan Inst. Chem. Eng. </w:t>
      </w:r>
      <w:r w:rsidRPr="00933705">
        <w:rPr>
          <w:b/>
          <w:bCs/>
          <w:color w:val="000000" w:themeColor="text1"/>
          <w:sz w:val="18"/>
          <w:szCs w:val="18"/>
        </w:rPr>
        <w:t>2015</w:t>
      </w:r>
      <w:r w:rsidRPr="00933705">
        <w:rPr>
          <w:color w:val="000000" w:themeColor="text1"/>
          <w:sz w:val="18"/>
          <w:szCs w:val="18"/>
        </w:rPr>
        <w:t xml:space="preserve">, </w:t>
      </w:r>
      <w:r w:rsidRPr="00933705">
        <w:rPr>
          <w:i/>
          <w:iCs/>
          <w:color w:val="000000" w:themeColor="text1"/>
          <w:sz w:val="18"/>
          <w:szCs w:val="18"/>
        </w:rPr>
        <w:t>50</w:t>
      </w:r>
      <w:r w:rsidRPr="00933705">
        <w:rPr>
          <w:color w:val="000000" w:themeColor="text1"/>
          <w:sz w:val="18"/>
          <w:szCs w:val="18"/>
        </w:rPr>
        <w:t>, 306–313. https://doi.org/10.1016/j.jtice.2014.12.035.</w:t>
      </w:r>
    </w:p>
    <w:p w14:paraId="276E58C3" w14:textId="77777777" w:rsidR="00933705" w:rsidRPr="00933705" w:rsidRDefault="00933705" w:rsidP="00933705">
      <w:pPr>
        <w:pStyle w:val="Bibliography"/>
        <w:numPr>
          <w:ilvl w:val="0"/>
          <w:numId w:val="5"/>
        </w:numPr>
        <w:tabs>
          <w:tab w:val="clear" w:pos="504"/>
        </w:tabs>
        <w:adjustRightInd w:val="0"/>
        <w:snapToGrid w:val="0"/>
        <w:spacing w:line="228" w:lineRule="auto"/>
        <w:ind w:left="425" w:hanging="425"/>
        <w:rPr>
          <w:color w:val="000000" w:themeColor="text1"/>
          <w:sz w:val="18"/>
          <w:szCs w:val="18"/>
        </w:rPr>
      </w:pPr>
      <w:r w:rsidRPr="00933705">
        <w:rPr>
          <w:color w:val="000000" w:themeColor="text1"/>
          <w:sz w:val="18"/>
          <w:szCs w:val="18"/>
        </w:rPr>
        <w:t xml:space="preserve">Saha, S.K.; Murmu, M.; Murmu, N.C.; Obot, I.B.; Banerjee, P. Molecular Level Insights for the Corrosion Inhibition Effectiveness of Three Amine Derivatives on the Carbon Steel Surface in the Adverse Medium: A Combined </w:t>
      </w:r>
      <w:r w:rsidRPr="00933705">
        <w:rPr>
          <w:color w:val="000000" w:themeColor="text1"/>
          <w:sz w:val="18"/>
          <w:szCs w:val="18"/>
        </w:rPr>
        <w:lastRenderedPageBreak/>
        <w:t xml:space="preserve">Density Functional Theory and Molecular Dynamics Simulation Study. </w:t>
      </w:r>
      <w:r w:rsidRPr="00933705">
        <w:rPr>
          <w:i/>
          <w:color w:val="000000" w:themeColor="text1"/>
          <w:sz w:val="18"/>
          <w:szCs w:val="18"/>
        </w:rPr>
        <w:t xml:space="preserve">Surf. </w:t>
      </w:r>
      <w:r w:rsidRPr="00933705">
        <w:rPr>
          <w:i/>
          <w:iCs/>
          <w:color w:val="000000" w:themeColor="text1"/>
          <w:sz w:val="18"/>
          <w:szCs w:val="18"/>
        </w:rPr>
        <w:t>Interfaces</w:t>
      </w:r>
      <w:r w:rsidRPr="00933705">
        <w:rPr>
          <w:color w:val="000000" w:themeColor="text1"/>
          <w:sz w:val="18"/>
          <w:szCs w:val="18"/>
        </w:rPr>
        <w:t xml:space="preserve"> </w:t>
      </w:r>
      <w:r w:rsidRPr="00933705">
        <w:rPr>
          <w:b/>
          <w:bCs/>
          <w:color w:val="000000" w:themeColor="text1"/>
          <w:sz w:val="18"/>
          <w:szCs w:val="18"/>
        </w:rPr>
        <w:t>2018</w:t>
      </w:r>
      <w:r w:rsidRPr="00933705">
        <w:rPr>
          <w:color w:val="000000" w:themeColor="text1"/>
          <w:sz w:val="18"/>
          <w:szCs w:val="18"/>
        </w:rPr>
        <w:t xml:space="preserve">, </w:t>
      </w:r>
      <w:r w:rsidRPr="00933705">
        <w:rPr>
          <w:i/>
          <w:iCs/>
          <w:color w:val="000000" w:themeColor="text1"/>
          <w:sz w:val="18"/>
          <w:szCs w:val="18"/>
        </w:rPr>
        <w:t>10</w:t>
      </w:r>
      <w:r w:rsidRPr="00933705">
        <w:rPr>
          <w:color w:val="000000" w:themeColor="text1"/>
          <w:sz w:val="18"/>
          <w:szCs w:val="18"/>
        </w:rPr>
        <w:t>, 65–73. https://doi.org/10.1016/j.surfin.2017.11.007.</w:t>
      </w:r>
    </w:p>
    <w:p w14:paraId="4F500AC1" w14:textId="77777777" w:rsidR="00933705" w:rsidRPr="00933705" w:rsidRDefault="00933705" w:rsidP="00933705">
      <w:pPr>
        <w:pStyle w:val="Bibliography"/>
        <w:numPr>
          <w:ilvl w:val="0"/>
          <w:numId w:val="5"/>
        </w:numPr>
        <w:tabs>
          <w:tab w:val="clear" w:pos="504"/>
        </w:tabs>
        <w:adjustRightInd w:val="0"/>
        <w:snapToGrid w:val="0"/>
        <w:spacing w:line="228" w:lineRule="auto"/>
        <w:ind w:left="425" w:hanging="425"/>
        <w:rPr>
          <w:color w:val="000000" w:themeColor="text1"/>
          <w:sz w:val="18"/>
          <w:szCs w:val="18"/>
        </w:rPr>
      </w:pPr>
      <w:r w:rsidRPr="00933705">
        <w:rPr>
          <w:color w:val="000000" w:themeColor="text1"/>
          <w:sz w:val="18"/>
          <w:szCs w:val="18"/>
        </w:rPr>
        <w:t xml:space="preserve">Islam, N.; Kaya, S. </w:t>
      </w:r>
      <w:r w:rsidRPr="00933705">
        <w:rPr>
          <w:i/>
          <w:iCs/>
          <w:color w:val="000000" w:themeColor="text1"/>
          <w:sz w:val="18"/>
          <w:szCs w:val="18"/>
        </w:rPr>
        <w:t>Conceptual Density Functional Theory and Its Application in the Chemical Domain</w:t>
      </w:r>
      <w:r w:rsidRPr="00933705">
        <w:rPr>
          <w:color w:val="000000" w:themeColor="text1"/>
          <w:sz w:val="18"/>
          <w:szCs w:val="18"/>
        </w:rPr>
        <w:t>; CRC Press: Boca Raton, FL, USA, 2018; ISBN 978-1-351-36024-1.</w:t>
      </w:r>
    </w:p>
    <w:p w14:paraId="4CB966C1" w14:textId="77777777" w:rsidR="00933705" w:rsidRPr="00933705" w:rsidRDefault="00933705" w:rsidP="00933705">
      <w:pPr>
        <w:pStyle w:val="Bibliography"/>
        <w:numPr>
          <w:ilvl w:val="0"/>
          <w:numId w:val="5"/>
        </w:numPr>
        <w:tabs>
          <w:tab w:val="clear" w:pos="504"/>
        </w:tabs>
        <w:adjustRightInd w:val="0"/>
        <w:snapToGrid w:val="0"/>
        <w:spacing w:line="228" w:lineRule="auto"/>
        <w:ind w:left="425" w:hanging="425"/>
        <w:rPr>
          <w:color w:val="000000" w:themeColor="text1"/>
          <w:sz w:val="18"/>
          <w:szCs w:val="18"/>
        </w:rPr>
      </w:pPr>
      <w:r w:rsidRPr="00933705">
        <w:rPr>
          <w:color w:val="000000" w:themeColor="text1"/>
          <w:sz w:val="18"/>
          <w:szCs w:val="18"/>
        </w:rPr>
        <w:t xml:space="preserve">Pearson, R.G. Hard and Soft Acids and Bases. </w:t>
      </w:r>
      <w:r w:rsidRPr="00933705">
        <w:rPr>
          <w:i/>
          <w:color w:val="000000" w:themeColor="text1"/>
          <w:sz w:val="18"/>
          <w:szCs w:val="18"/>
        </w:rPr>
        <w:t xml:space="preserve">J. Am. Chem. Soc. </w:t>
      </w:r>
      <w:r w:rsidRPr="00933705">
        <w:rPr>
          <w:b/>
          <w:bCs/>
          <w:color w:val="000000" w:themeColor="text1"/>
          <w:sz w:val="18"/>
          <w:szCs w:val="18"/>
        </w:rPr>
        <w:t>1963</w:t>
      </w:r>
      <w:r w:rsidRPr="00933705">
        <w:rPr>
          <w:color w:val="000000" w:themeColor="text1"/>
          <w:sz w:val="18"/>
          <w:szCs w:val="18"/>
        </w:rPr>
        <w:t xml:space="preserve">, </w:t>
      </w:r>
      <w:r w:rsidRPr="00933705">
        <w:rPr>
          <w:i/>
          <w:iCs/>
          <w:color w:val="000000" w:themeColor="text1"/>
          <w:sz w:val="18"/>
          <w:szCs w:val="18"/>
        </w:rPr>
        <w:t>85</w:t>
      </w:r>
      <w:r w:rsidRPr="00933705">
        <w:rPr>
          <w:color w:val="000000" w:themeColor="text1"/>
          <w:sz w:val="18"/>
          <w:szCs w:val="18"/>
        </w:rPr>
        <w:t>, 3533–3539.</w:t>
      </w:r>
    </w:p>
    <w:p w14:paraId="7FA7CF61" w14:textId="77777777" w:rsidR="00933705" w:rsidRPr="00933705" w:rsidRDefault="00933705" w:rsidP="00933705">
      <w:pPr>
        <w:pStyle w:val="Bibliography"/>
        <w:numPr>
          <w:ilvl w:val="0"/>
          <w:numId w:val="5"/>
        </w:numPr>
        <w:tabs>
          <w:tab w:val="clear" w:pos="504"/>
        </w:tabs>
        <w:adjustRightInd w:val="0"/>
        <w:snapToGrid w:val="0"/>
        <w:spacing w:line="228" w:lineRule="auto"/>
        <w:ind w:left="425" w:hanging="425"/>
        <w:rPr>
          <w:color w:val="000000" w:themeColor="text1"/>
          <w:sz w:val="18"/>
          <w:szCs w:val="18"/>
        </w:rPr>
      </w:pPr>
      <w:r w:rsidRPr="00933705">
        <w:rPr>
          <w:color w:val="000000" w:themeColor="text1"/>
          <w:sz w:val="18"/>
          <w:szCs w:val="18"/>
        </w:rPr>
        <w:t xml:space="preserve">Kokalj, A. On the HSAB Based Estimate of Charge Transfer between Adsorbates and Metal Surfaces. </w:t>
      </w:r>
      <w:r w:rsidRPr="00933705">
        <w:rPr>
          <w:i/>
          <w:color w:val="000000" w:themeColor="text1"/>
          <w:sz w:val="18"/>
          <w:szCs w:val="18"/>
        </w:rPr>
        <w:t xml:space="preserve">Chem. Phys. </w:t>
      </w:r>
      <w:r w:rsidRPr="00933705">
        <w:rPr>
          <w:b/>
          <w:bCs/>
          <w:color w:val="000000" w:themeColor="text1"/>
          <w:sz w:val="18"/>
          <w:szCs w:val="18"/>
        </w:rPr>
        <w:t>2012</w:t>
      </w:r>
      <w:r w:rsidRPr="00933705">
        <w:rPr>
          <w:color w:val="000000" w:themeColor="text1"/>
          <w:sz w:val="18"/>
          <w:szCs w:val="18"/>
        </w:rPr>
        <w:t xml:space="preserve">, </w:t>
      </w:r>
      <w:r w:rsidRPr="00933705">
        <w:rPr>
          <w:i/>
          <w:iCs/>
          <w:color w:val="000000" w:themeColor="text1"/>
          <w:sz w:val="18"/>
          <w:szCs w:val="18"/>
        </w:rPr>
        <w:t>393</w:t>
      </w:r>
      <w:r w:rsidRPr="00933705">
        <w:rPr>
          <w:color w:val="000000" w:themeColor="text1"/>
          <w:sz w:val="18"/>
          <w:szCs w:val="18"/>
        </w:rPr>
        <w:t>, 1–12. https://doi.org/10.1016/j.chemphys.2011.10.021.</w:t>
      </w:r>
    </w:p>
    <w:p w14:paraId="63CBB133" w14:textId="77777777" w:rsidR="00933705" w:rsidRPr="00933705" w:rsidRDefault="00933705" w:rsidP="00933705">
      <w:pPr>
        <w:pStyle w:val="Bibliography"/>
        <w:numPr>
          <w:ilvl w:val="0"/>
          <w:numId w:val="5"/>
        </w:numPr>
        <w:tabs>
          <w:tab w:val="clear" w:pos="504"/>
        </w:tabs>
        <w:adjustRightInd w:val="0"/>
        <w:snapToGrid w:val="0"/>
        <w:spacing w:line="228" w:lineRule="auto"/>
        <w:ind w:left="425" w:hanging="425"/>
        <w:rPr>
          <w:color w:val="000000" w:themeColor="text1"/>
          <w:sz w:val="18"/>
          <w:szCs w:val="18"/>
        </w:rPr>
      </w:pPr>
      <w:r w:rsidRPr="00933705">
        <w:rPr>
          <w:color w:val="000000" w:themeColor="text1"/>
          <w:sz w:val="18"/>
          <w:szCs w:val="18"/>
        </w:rPr>
        <w:t xml:space="preserve">Saha, S.K.; Dutta, A.; Ghosh, P.; Sukul, D.; Banerjee, P. Novel Schiff-Base Molecules as Efficient Corrosion Inhibitors for Mild Steel Surface in 1 M HCl Medium: Experimental and Theoretical Approach. </w:t>
      </w:r>
      <w:r w:rsidRPr="00933705">
        <w:rPr>
          <w:i/>
          <w:iCs/>
          <w:color w:val="000000" w:themeColor="text1"/>
          <w:sz w:val="18"/>
          <w:szCs w:val="18"/>
        </w:rPr>
        <w:t>Phys. Chem. Chem. Phys.</w:t>
      </w:r>
      <w:r w:rsidRPr="00933705">
        <w:rPr>
          <w:color w:val="000000" w:themeColor="text1"/>
          <w:sz w:val="18"/>
          <w:szCs w:val="18"/>
        </w:rPr>
        <w:t xml:space="preserve"> </w:t>
      </w:r>
      <w:r w:rsidRPr="00933705">
        <w:rPr>
          <w:b/>
          <w:bCs/>
          <w:color w:val="000000" w:themeColor="text1"/>
          <w:sz w:val="18"/>
          <w:szCs w:val="18"/>
        </w:rPr>
        <w:t>2016</w:t>
      </w:r>
      <w:r w:rsidRPr="00933705">
        <w:rPr>
          <w:color w:val="000000" w:themeColor="text1"/>
          <w:sz w:val="18"/>
          <w:szCs w:val="18"/>
        </w:rPr>
        <w:t xml:space="preserve">, </w:t>
      </w:r>
      <w:r w:rsidRPr="00933705">
        <w:rPr>
          <w:i/>
          <w:iCs/>
          <w:color w:val="000000" w:themeColor="text1"/>
          <w:sz w:val="18"/>
          <w:szCs w:val="18"/>
        </w:rPr>
        <w:t>18</w:t>
      </w:r>
      <w:r w:rsidRPr="00933705">
        <w:rPr>
          <w:color w:val="000000" w:themeColor="text1"/>
          <w:sz w:val="18"/>
          <w:szCs w:val="18"/>
        </w:rPr>
        <w:t>, 17898–17911. https://doi.org/10.1039/C6CP01993E.</w:t>
      </w:r>
    </w:p>
    <w:p w14:paraId="1859E033" w14:textId="77777777" w:rsidR="00933705" w:rsidRPr="00933705" w:rsidRDefault="00933705" w:rsidP="00933705">
      <w:pPr>
        <w:pStyle w:val="Bibliography"/>
        <w:numPr>
          <w:ilvl w:val="0"/>
          <w:numId w:val="5"/>
        </w:numPr>
        <w:tabs>
          <w:tab w:val="clear" w:pos="504"/>
        </w:tabs>
        <w:adjustRightInd w:val="0"/>
        <w:snapToGrid w:val="0"/>
        <w:spacing w:line="228" w:lineRule="auto"/>
        <w:ind w:left="425" w:hanging="425"/>
        <w:rPr>
          <w:color w:val="000000" w:themeColor="text1"/>
          <w:sz w:val="18"/>
          <w:szCs w:val="18"/>
        </w:rPr>
      </w:pPr>
      <w:r w:rsidRPr="00933705">
        <w:rPr>
          <w:color w:val="000000" w:themeColor="text1"/>
          <w:sz w:val="18"/>
          <w:szCs w:val="18"/>
        </w:rPr>
        <w:t xml:space="preserve">Makedonas, C.; Mitsopoulou, C.A. An Investigation of the Reactivity of [(Diimine)(Dithiolato)M] Complexes Using the Fukui Functions Concept. </w:t>
      </w:r>
      <w:r w:rsidRPr="00933705">
        <w:rPr>
          <w:i/>
          <w:color w:val="000000" w:themeColor="text1"/>
          <w:sz w:val="18"/>
          <w:szCs w:val="18"/>
        </w:rPr>
        <w:t xml:space="preserve">Eur. J. Inorg. Chem. </w:t>
      </w:r>
      <w:r w:rsidRPr="00933705">
        <w:rPr>
          <w:b/>
          <w:bCs/>
          <w:color w:val="000000" w:themeColor="text1"/>
          <w:sz w:val="18"/>
          <w:szCs w:val="18"/>
        </w:rPr>
        <w:t>2006</w:t>
      </w:r>
      <w:r w:rsidRPr="00933705">
        <w:rPr>
          <w:color w:val="000000" w:themeColor="text1"/>
          <w:sz w:val="18"/>
          <w:szCs w:val="18"/>
        </w:rPr>
        <w:t xml:space="preserve">, </w:t>
      </w:r>
      <w:r w:rsidRPr="00933705">
        <w:rPr>
          <w:i/>
          <w:iCs/>
          <w:color w:val="000000" w:themeColor="text1"/>
          <w:sz w:val="18"/>
          <w:szCs w:val="18"/>
        </w:rPr>
        <w:t>2006</w:t>
      </w:r>
      <w:r w:rsidRPr="00933705">
        <w:rPr>
          <w:color w:val="000000" w:themeColor="text1"/>
          <w:sz w:val="18"/>
          <w:szCs w:val="18"/>
        </w:rPr>
        <w:t>, 590–598. https://doi.org/10.1002/ejic.200500664.</w:t>
      </w:r>
    </w:p>
    <w:p w14:paraId="4AFAC2DE" w14:textId="77777777" w:rsidR="00933705" w:rsidRPr="00933705" w:rsidRDefault="00933705" w:rsidP="00933705">
      <w:pPr>
        <w:pStyle w:val="Bibliography"/>
        <w:numPr>
          <w:ilvl w:val="0"/>
          <w:numId w:val="5"/>
        </w:numPr>
        <w:tabs>
          <w:tab w:val="clear" w:pos="504"/>
        </w:tabs>
        <w:adjustRightInd w:val="0"/>
        <w:snapToGrid w:val="0"/>
        <w:spacing w:line="228" w:lineRule="auto"/>
        <w:ind w:left="425" w:hanging="425"/>
        <w:rPr>
          <w:color w:val="000000" w:themeColor="text1"/>
          <w:sz w:val="18"/>
          <w:szCs w:val="18"/>
        </w:rPr>
      </w:pPr>
      <w:r w:rsidRPr="00933705">
        <w:rPr>
          <w:color w:val="000000" w:themeColor="text1"/>
          <w:sz w:val="18"/>
          <w:szCs w:val="18"/>
        </w:rPr>
        <w:t xml:space="preserve">Thanikaivelan, P.; Padmanabhan, J.; Subramanian, V.; Ramasami, T. Chemical Reactivity and Selectivity Using Fukui Functions: Basis Set and Population Scheme Dependence in the Framework of B3LYP Theory. </w:t>
      </w:r>
      <w:r w:rsidRPr="00933705">
        <w:rPr>
          <w:i/>
          <w:iCs/>
          <w:color w:val="000000" w:themeColor="text1"/>
          <w:sz w:val="18"/>
          <w:szCs w:val="18"/>
        </w:rPr>
        <w:t>Theor. Chem. Acc.</w:t>
      </w:r>
      <w:r w:rsidRPr="00933705">
        <w:rPr>
          <w:color w:val="000000" w:themeColor="text1"/>
          <w:sz w:val="18"/>
          <w:szCs w:val="18"/>
        </w:rPr>
        <w:t xml:space="preserve"> </w:t>
      </w:r>
      <w:r w:rsidRPr="00933705">
        <w:rPr>
          <w:b/>
          <w:bCs/>
          <w:color w:val="000000" w:themeColor="text1"/>
          <w:sz w:val="18"/>
          <w:szCs w:val="18"/>
        </w:rPr>
        <w:t>2002</w:t>
      </w:r>
      <w:r w:rsidRPr="00933705">
        <w:rPr>
          <w:color w:val="000000" w:themeColor="text1"/>
          <w:sz w:val="18"/>
          <w:szCs w:val="18"/>
        </w:rPr>
        <w:t xml:space="preserve">, </w:t>
      </w:r>
      <w:r w:rsidRPr="00933705">
        <w:rPr>
          <w:i/>
          <w:iCs/>
          <w:color w:val="000000" w:themeColor="text1"/>
          <w:sz w:val="18"/>
          <w:szCs w:val="18"/>
        </w:rPr>
        <w:t>107</w:t>
      </w:r>
      <w:r w:rsidRPr="00933705">
        <w:rPr>
          <w:color w:val="000000" w:themeColor="text1"/>
          <w:sz w:val="18"/>
          <w:szCs w:val="18"/>
        </w:rPr>
        <w:t>, 326–335. https://doi.org/10.1007/s00214-002-0352-z.</w:t>
      </w:r>
    </w:p>
    <w:p w14:paraId="11129D49" w14:textId="77777777" w:rsidR="00933705" w:rsidRPr="00933705" w:rsidRDefault="00933705" w:rsidP="00933705">
      <w:pPr>
        <w:pStyle w:val="Bibliography"/>
        <w:numPr>
          <w:ilvl w:val="0"/>
          <w:numId w:val="5"/>
        </w:numPr>
        <w:tabs>
          <w:tab w:val="clear" w:pos="504"/>
        </w:tabs>
        <w:adjustRightInd w:val="0"/>
        <w:snapToGrid w:val="0"/>
        <w:spacing w:line="228" w:lineRule="auto"/>
        <w:ind w:left="425" w:hanging="425"/>
        <w:rPr>
          <w:color w:val="000000" w:themeColor="text1"/>
          <w:sz w:val="18"/>
          <w:szCs w:val="18"/>
        </w:rPr>
      </w:pPr>
      <w:r w:rsidRPr="00933705">
        <w:rPr>
          <w:color w:val="000000" w:themeColor="text1"/>
          <w:sz w:val="18"/>
          <w:szCs w:val="18"/>
        </w:rPr>
        <w:t xml:space="preserve">Morell, C.; Grand, A.; Toro-Labbé, A. New Dual Descriptor for Chemical Reactivity. </w:t>
      </w:r>
      <w:r w:rsidRPr="00933705">
        <w:rPr>
          <w:i/>
          <w:color w:val="000000" w:themeColor="text1"/>
          <w:sz w:val="18"/>
          <w:szCs w:val="18"/>
        </w:rPr>
        <w:t xml:space="preserve">J. Phys. Chem. </w:t>
      </w:r>
      <w:r w:rsidRPr="00933705">
        <w:rPr>
          <w:i/>
          <w:iCs/>
          <w:color w:val="000000" w:themeColor="text1"/>
          <w:sz w:val="18"/>
          <w:szCs w:val="18"/>
        </w:rPr>
        <w:t>A</w:t>
      </w:r>
      <w:r w:rsidRPr="00933705">
        <w:rPr>
          <w:color w:val="000000" w:themeColor="text1"/>
          <w:sz w:val="18"/>
          <w:szCs w:val="18"/>
        </w:rPr>
        <w:t xml:space="preserve"> </w:t>
      </w:r>
      <w:r w:rsidRPr="00933705">
        <w:rPr>
          <w:b/>
          <w:bCs/>
          <w:color w:val="000000" w:themeColor="text1"/>
          <w:sz w:val="18"/>
          <w:szCs w:val="18"/>
        </w:rPr>
        <w:t>2005</w:t>
      </w:r>
      <w:r w:rsidRPr="00933705">
        <w:rPr>
          <w:color w:val="000000" w:themeColor="text1"/>
          <w:sz w:val="18"/>
          <w:szCs w:val="18"/>
        </w:rPr>
        <w:t xml:space="preserve">, </w:t>
      </w:r>
      <w:r w:rsidRPr="00933705">
        <w:rPr>
          <w:i/>
          <w:iCs/>
          <w:color w:val="000000" w:themeColor="text1"/>
          <w:sz w:val="18"/>
          <w:szCs w:val="18"/>
        </w:rPr>
        <w:t>109</w:t>
      </w:r>
      <w:r w:rsidRPr="00933705">
        <w:rPr>
          <w:color w:val="000000" w:themeColor="text1"/>
          <w:sz w:val="18"/>
          <w:szCs w:val="18"/>
        </w:rPr>
        <w:t>, 205–212.</w:t>
      </w:r>
    </w:p>
    <w:p w14:paraId="5A2EE54C" w14:textId="1228BCCF" w:rsidR="00933705" w:rsidRPr="007F04F8" w:rsidRDefault="00933705" w:rsidP="00933705">
      <w:pPr>
        <w:pStyle w:val="Bibliography"/>
        <w:rPr>
          <w:color w:val="000000" w:themeColor="text1"/>
        </w:rPr>
      </w:pPr>
    </w:p>
    <w:p w14:paraId="04DF634F" w14:textId="38F417F7" w:rsidR="0071299E" w:rsidRPr="007F04F8" w:rsidRDefault="0071299E" w:rsidP="00BB5FDB">
      <w:pPr>
        <w:pStyle w:val="Bibliography"/>
        <w:rPr>
          <w:color w:val="000000" w:themeColor="text1"/>
        </w:rPr>
      </w:pPr>
    </w:p>
    <w:sectPr w:rsidR="0071299E" w:rsidRPr="007F04F8">
      <w:pgSz w:w="12240" w:h="15840"/>
      <w:pgMar w:top="1701" w:right="1440" w:bottom="1440" w:left="144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EE"/>
    <w:family w:val="roman"/>
    <w:pitch w:val="variable"/>
    <w:sig w:usb0="E0002EFF" w:usb1="C000785B" w:usb2="00000009" w:usb3="00000000" w:csb0="000001FF" w:csb1="00000000"/>
  </w:font>
  <w:font w:name="Calibri">
    <w:panose1 w:val="020F0502020204030204"/>
    <w:charset w:val="EE"/>
    <w:family w:val="swiss"/>
    <w:pitch w:val="variable"/>
    <w:sig w:usb0="E4002EFF" w:usb1="C200247B" w:usb2="00000009" w:usb3="00000000" w:csb0="000001FF" w:csb1="00000000"/>
  </w:font>
  <w:font w:name="Malgun Gothic">
    <w:panose1 w:val="020B0503020000020004"/>
    <w:charset w:val="81"/>
    <w:family w:val="swiss"/>
    <w:pitch w:val="variable"/>
    <w:sig w:usb0="9000002F" w:usb1="29D77CFB" w:usb2="00000012" w:usb3="00000000" w:csb0="00080001" w:csb1="00000000"/>
  </w:font>
  <w:font w:name="Arial">
    <w:panose1 w:val="020B0604020202020204"/>
    <w:charset w:val="EE"/>
    <w:family w:val="swiss"/>
    <w:pitch w:val="variable"/>
    <w:sig w:usb0="E0002EFF" w:usb1="C000785B" w:usb2="00000009" w:usb3="00000000" w:csb0="000001FF" w:csb1="00000000"/>
  </w:font>
  <w:font w:name="Palatino Linotype">
    <w:panose1 w:val="02040502050505030304"/>
    <w:charset w:val="EE"/>
    <w:family w:val="roman"/>
    <w:pitch w:val="variable"/>
    <w:sig w:usb0="E0000287" w:usb1="40000013" w:usb2="00000000" w:usb3="00000000" w:csb0="0000019F" w:csb1="00000000"/>
  </w:font>
  <w:font w:name="SimSun">
    <w:altName w:val="宋体"/>
    <w:panose1 w:val="02010600030101010101"/>
    <w:charset w:val="86"/>
    <w:family w:val="auto"/>
    <w:pitch w:val="variable"/>
    <w:sig w:usb0="00000203" w:usb1="288F0000" w:usb2="00000016" w:usb3="00000000" w:csb0="00040001" w:csb1="00000000"/>
  </w:font>
  <w:font w:name="Cordia New">
    <w:panose1 w:val="020B0304020202020204"/>
    <w:charset w:val="DE"/>
    <w:family w:val="swiss"/>
    <w:pitch w:val="variable"/>
    <w:sig w:usb0="81000003" w:usb1="00000000" w:usb2="00000000" w:usb3="00000000" w:csb0="00010001" w:csb1="00000000"/>
  </w:font>
  <w:font w:name="Cambria Math">
    <w:panose1 w:val="02040503050406030204"/>
    <w:charset w:val="EE"/>
    <w:family w:val="roman"/>
    <w:pitch w:val="variable"/>
    <w:sig w:usb0="E00006FF" w:usb1="420024FF" w:usb2="02000000" w:usb3="00000000" w:csb0="0000019F" w:csb1="00000000"/>
  </w:font>
  <w:font w:name="Calibri Light">
    <w:panose1 w:val="020F0302020204030204"/>
    <w:charset w:val="EE"/>
    <w:family w:val="swiss"/>
    <w:pitch w:val="variable"/>
    <w:sig w:usb0="E4002EFF" w:usb1="C200247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1582D1F"/>
    <w:multiLevelType w:val="hybridMultilevel"/>
    <w:tmpl w:val="0B96F3F8"/>
    <w:lvl w:ilvl="0" w:tplc="592C4156">
      <w:start w:val="18"/>
      <w:numFmt w:val="decimal"/>
      <w:lvlText w:val="%1"/>
      <w:lvlJc w:val="left"/>
      <w:pPr>
        <w:ind w:left="780" w:hanging="360"/>
      </w:pPr>
      <w:rPr>
        <w:rFonts w:hint="default"/>
      </w:rPr>
    </w:lvl>
    <w:lvl w:ilvl="1" w:tplc="04090019" w:tentative="1">
      <w:start w:val="1"/>
      <w:numFmt w:val="lowerLetter"/>
      <w:lvlText w:val="%2)"/>
      <w:lvlJc w:val="left"/>
      <w:pPr>
        <w:ind w:left="1260" w:hanging="420"/>
      </w:pPr>
    </w:lvl>
    <w:lvl w:ilvl="2" w:tplc="0409001B" w:tentative="1">
      <w:start w:val="1"/>
      <w:numFmt w:val="lowerRoman"/>
      <w:lvlText w:val="%3."/>
      <w:lvlJc w:val="right"/>
      <w:pPr>
        <w:ind w:left="1680" w:hanging="420"/>
      </w:pPr>
    </w:lvl>
    <w:lvl w:ilvl="3" w:tplc="0409000F" w:tentative="1">
      <w:start w:val="1"/>
      <w:numFmt w:val="decimal"/>
      <w:lvlText w:val="%4."/>
      <w:lvlJc w:val="left"/>
      <w:pPr>
        <w:ind w:left="2100" w:hanging="420"/>
      </w:pPr>
    </w:lvl>
    <w:lvl w:ilvl="4" w:tplc="04090019" w:tentative="1">
      <w:start w:val="1"/>
      <w:numFmt w:val="lowerLetter"/>
      <w:lvlText w:val="%5)"/>
      <w:lvlJc w:val="left"/>
      <w:pPr>
        <w:ind w:left="2520" w:hanging="420"/>
      </w:pPr>
    </w:lvl>
    <w:lvl w:ilvl="5" w:tplc="0409001B" w:tentative="1">
      <w:start w:val="1"/>
      <w:numFmt w:val="lowerRoman"/>
      <w:lvlText w:val="%6."/>
      <w:lvlJc w:val="right"/>
      <w:pPr>
        <w:ind w:left="2940" w:hanging="420"/>
      </w:pPr>
    </w:lvl>
    <w:lvl w:ilvl="6" w:tplc="0409000F" w:tentative="1">
      <w:start w:val="1"/>
      <w:numFmt w:val="decimal"/>
      <w:lvlText w:val="%7."/>
      <w:lvlJc w:val="left"/>
      <w:pPr>
        <w:ind w:left="3360" w:hanging="420"/>
      </w:pPr>
    </w:lvl>
    <w:lvl w:ilvl="7" w:tplc="04090019" w:tentative="1">
      <w:start w:val="1"/>
      <w:numFmt w:val="lowerLetter"/>
      <w:lvlText w:val="%8)"/>
      <w:lvlJc w:val="left"/>
      <w:pPr>
        <w:ind w:left="3780" w:hanging="420"/>
      </w:pPr>
    </w:lvl>
    <w:lvl w:ilvl="8" w:tplc="0409001B" w:tentative="1">
      <w:start w:val="1"/>
      <w:numFmt w:val="lowerRoman"/>
      <w:lvlText w:val="%9."/>
      <w:lvlJc w:val="right"/>
      <w:pPr>
        <w:ind w:left="4200" w:hanging="420"/>
      </w:pPr>
    </w:lvl>
  </w:abstractNum>
  <w:abstractNum w:abstractNumId="1" w15:restartNumberingAfterBreak="0">
    <w:nsid w:val="17AF562C"/>
    <w:multiLevelType w:val="hybridMultilevel"/>
    <w:tmpl w:val="53B4B162"/>
    <w:lvl w:ilvl="0" w:tplc="90B4E6F2">
      <w:start w:val="69"/>
      <w:numFmt w:val="decimal"/>
      <w:lvlText w:val="%1."/>
      <w:lvlJc w:val="right"/>
      <w:pPr>
        <w:ind w:left="840" w:hanging="420"/>
      </w:pPr>
      <w:rPr>
        <w:rFonts w:hint="eastAsia"/>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2" w15:restartNumberingAfterBreak="0">
    <w:nsid w:val="1C3D750F"/>
    <w:multiLevelType w:val="hybridMultilevel"/>
    <w:tmpl w:val="A66CEF2C"/>
    <w:lvl w:ilvl="0" w:tplc="84485028">
      <w:start w:val="18"/>
      <w:numFmt w:val="decimal"/>
      <w:lvlText w:val="%1"/>
      <w:lvlJc w:val="left"/>
      <w:pPr>
        <w:ind w:left="360" w:hanging="36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3" w15:restartNumberingAfterBreak="0">
    <w:nsid w:val="29CF1ED3"/>
    <w:multiLevelType w:val="hybridMultilevel"/>
    <w:tmpl w:val="CF10447E"/>
    <w:lvl w:ilvl="0" w:tplc="85F22ED2">
      <w:start w:val="68"/>
      <w:numFmt w:val="decimal"/>
      <w:lvlText w:val="%1."/>
      <w:lvlJc w:val="right"/>
      <w:pPr>
        <w:ind w:left="420" w:hanging="420"/>
      </w:pPr>
      <w:rPr>
        <w:rFonts w:hint="eastAsia"/>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4" w15:restartNumberingAfterBreak="0">
    <w:nsid w:val="69AB00A3"/>
    <w:multiLevelType w:val="hybridMultilevel"/>
    <w:tmpl w:val="2B2ED1DA"/>
    <w:lvl w:ilvl="0" w:tplc="0F268E04">
      <w:start w:val="69"/>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num w:numId="1" w16cid:durableId="1071583430">
    <w:abstractNumId w:val="4"/>
  </w:num>
  <w:num w:numId="2" w16cid:durableId="1556087649">
    <w:abstractNumId w:val="2"/>
  </w:num>
  <w:num w:numId="3" w16cid:durableId="1648631109">
    <w:abstractNumId w:val="3"/>
  </w:num>
  <w:num w:numId="4" w16cid:durableId="1563519364">
    <w:abstractNumId w:val="0"/>
  </w:num>
  <w:num w:numId="5" w16cid:durableId="945231042">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bordersDoNotSurroundHeader/>
  <w:bordersDoNotSurroundFooter/>
  <w:proofState w:spelling="clean" w:grammar="clean"/>
  <w:defaultTabStop w:val="510"/>
  <w:hyphenationZone w:val="425"/>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docVars>
    <w:docVar w:name="__Grammarly_42____i" w:val="H4sIAAAAAAAEAKtWckksSQxILCpxzi/NK1GyMqwFAAEhoTITAAAA"/>
    <w:docVar w:name="__Grammarly_42___1" w:val="H4sIAAAAAAAEAKtWcslP9kxRslIyNDY2MjU2sDC3MDc3tDA1MDVX0lEKTi0uzszPAykwrAUA9dhu4ywAAAA="/>
  </w:docVars>
  <w:rsids>
    <w:rsidRoot w:val="00592225"/>
    <w:rsid w:val="00094BCC"/>
    <w:rsid w:val="001C60C0"/>
    <w:rsid w:val="00454049"/>
    <w:rsid w:val="004C76BF"/>
    <w:rsid w:val="00592225"/>
    <w:rsid w:val="005D5C1C"/>
    <w:rsid w:val="0071299E"/>
    <w:rsid w:val="00777178"/>
    <w:rsid w:val="007C4BDA"/>
    <w:rsid w:val="007F04F8"/>
    <w:rsid w:val="00801791"/>
    <w:rsid w:val="00933705"/>
    <w:rsid w:val="009E6DC1"/>
    <w:rsid w:val="00A5797C"/>
    <w:rsid w:val="00BB5FDB"/>
    <w:rsid w:val="00BC15B1"/>
    <w:rsid w:val="00C265AB"/>
    <w:rsid w:val="00D07966"/>
    <w:rsid w:val="00D2066B"/>
    <w:rsid w:val="00D94AF1"/>
    <w:rsid w:val="00DC1B00"/>
  </w:rsids>
  <m:mathPr>
    <m:mathFont m:val="Cambria Math"/>
    <m:brkBin m:val="before"/>
    <m:brkBinSub m:val="--"/>
    <m:smallFrac m:val="0"/>
    <m:dispDef/>
    <m:lMargin m:val="0"/>
    <m:rMargin m:val="0"/>
    <m:defJc m:val="centerGroup"/>
    <m:wrapIndent m:val="1440"/>
    <m:intLim m:val="subSup"/>
    <m:naryLim m:val="undOvr"/>
  </m:mathPr>
  <w:themeFontLang w:val="en-US" w:eastAsia="ko-KR" w:bidi="ar-S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9B41ED4"/>
  <w15:chartTrackingRefBased/>
  <w15:docId w15:val="{0F706901-CFB7-4A29-B813-0A9B997C230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kern w:val="2"/>
        <w:sz w:val="22"/>
        <w:szCs w:val="22"/>
        <w:lang w:val="en-US" w:eastAsia="ko-KR"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aliases w:val="Lgaz-style"/>
    <w:qFormat/>
    <w:rsid w:val="001C60C0"/>
    <w:pPr>
      <w:spacing w:after="0" w:line="260" w:lineRule="atLeast"/>
      <w:jc w:val="both"/>
    </w:pPr>
    <w:rPr>
      <w:rFonts w:ascii="Palatino Linotype" w:eastAsia="SimSun" w:hAnsi="Palatino Linotype" w:cs="Times New Roman"/>
      <w:noProof/>
      <w:color w:val="000000"/>
      <w:kern w:val="0"/>
      <w:sz w:val="20"/>
      <w:szCs w:val="20"/>
      <w:lang w:eastAsia="zh-CN"/>
      <w14:ligatures w14:val="none"/>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MDPI12title">
    <w:name w:val="MDPI_1.2_title"/>
    <w:next w:val="Normal"/>
    <w:qFormat/>
    <w:rsid w:val="001C60C0"/>
    <w:pPr>
      <w:adjustRightInd w:val="0"/>
      <w:snapToGrid w:val="0"/>
      <w:spacing w:after="240" w:line="240" w:lineRule="atLeast"/>
    </w:pPr>
    <w:rPr>
      <w:rFonts w:ascii="Palatino Linotype" w:eastAsia="Times New Roman" w:hAnsi="Palatino Linotype" w:cs="Times New Roman"/>
      <w:b/>
      <w:snapToGrid w:val="0"/>
      <w:color w:val="000000"/>
      <w:kern w:val="0"/>
      <w:sz w:val="36"/>
      <w:szCs w:val="20"/>
      <w:lang w:eastAsia="de-DE" w:bidi="en-US"/>
      <w14:ligatures w14:val="none"/>
    </w:rPr>
  </w:style>
  <w:style w:type="paragraph" w:customStyle="1" w:styleId="MDPI13authornames">
    <w:name w:val="MDPI_1.3_authornames"/>
    <w:next w:val="Normal"/>
    <w:qFormat/>
    <w:rsid w:val="001C60C0"/>
    <w:pPr>
      <w:adjustRightInd w:val="0"/>
      <w:snapToGrid w:val="0"/>
      <w:spacing w:after="360" w:line="260" w:lineRule="atLeast"/>
    </w:pPr>
    <w:rPr>
      <w:rFonts w:ascii="Palatino Linotype" w:eastAsia="Times New Roman" w:hAnsi="Palatino Linotype" w:cs="Times New Roman"/>
      <w:b/>
      <w:color w:val="000000"/>
      <w:kern w:val="0"/>
      <w:sz w:val="20"/>
      <w:lang w:eastAsia="de-DE" w:bidi="en-US"/>
      <w14:ligatures w14:val="none"/>
    </w:rPr>
  </w:style>
  <w:style w:type="paragraph" w:customStyle="1" w:styleId="MDPI14history">
    <w:name w:val="MDPI_1.4_history"/>
    <w:basedOn w:val="Normal"/>
    <w:next w:val="Normal"/>
    <w:qFormat/>
    <w:rsid w:val="001C60C0"/>
    <w:pPr>
      <w:adjustRightInd w:val="0"/>
      <w:snapToGrid w:val="0"/>
      <w:spacing w:line="240" w:lineRule="atLeast"/>
      <w:ind w:right="113"/>
      <w:jc w:val="left"/>
    </w:pPr>
    <w:rPr>
      <w:rFonts w:eastAsia="Times New Roman"/>
      <w:noProof w:val="0"/>
      <w:sz w:val="14"/>
      <w:lang w:eastAsia="de-DE" w:bidi="en-US"/>
    </w:rPr>
  </w:style>
  <w:style w:type="paragraph" w:customStyle="1" w:styleId="MDPI16affiliation">
    <w:name w:val="MDPI_1.6_affiliation"/>
    <w:qFormat/>
    <w:rsid w:val="001C60C0"/>
    <w:pPr>
      <w:adjustRightInd w:val="0"/>
      <w:snapToGrid w:val="0"/>
      <w:spacing w:after="0" w:line="200" w:lineRule="atLeast"/>
      <w:ind w:left="2806" w:hanging="198"/>
    </w:pPr>
    <w:rPr>
      <w:rFonts w:ascii="Palatino Linotype" w:eastAsia="Times New Roman" w:hAnsi="Palatino Linotype" w:cs="Times New Roman"/>
      <w:color w:val="000000"/>
      <w:kern w:val="0"/>
      <w:sz w:val="16"/>
      <w:szCs w:val="18"/>
      <w:lang w:eastAsia="de-DE" w:bidi="en-US"/>
      <w14:ligatures w14:val="none"/>
    </w:rPr>
  </w:style>
  <w:style w:type="character" w:styleId="Hyperlink">
    <w:name w:val="Hyperlink"/>
    <w:uiPriority w:val="99"/>
    <w:rsid w:val="001C60C0"/>
    <w:rPr>
      <w:color w:val="0000FF"/>
      <w:u w:val="single"/>
    </w:rPr>
  </w:style>
  <w:style w:type="paragraph" w:customStyle="1" w:styleId="MDPI61Citation">
    <w:name w:val="MDPI_6.1_Citation"/>
    <w:qFormat/>
    <w:rsid w:val="001C60C0"/>
    <w:pPr>
      <w:adjustRightInd w:val="0"/>
      <w:snapToGrid w:val="0"/>
      <w:spacing w:after="0" w:line="240" w:lineRule="atLeast"/>
      <w:ind w:right="113"/>
    </w:pPr>
    <w:rPr>
      <w:rFonts w:ascii="Palatino Linotype" w:eastAsia="SimSun" w:hAnsi="Palatino Linotype" w:cs="Cordia New"/>
      <w:kern w:val="0"/>
      <w:sz w:val="14"/>
      <w:lang w:eastAsia="zh-CN"/>
      <w14:ligatures w14:val="none"/>
    </w:rPr>
  </w:style>
  <w:style w:type="paragraph" w:customStyle="1" w:styleId="MDPI72Copyright">
    <w:name w:val="MDPI_7.2_Copyright"/>
    <w:qFormat/>
    <w:rsid w:val="001C60C0"/>
    <w:pPr>
      <w:adjustRightInd w:val="0"/>
      <w:snapToGrid w:val="0"/>
      <w:spacing w:before="60" w:after="0" w:line="240" w:lineRule="atLeast"/>
      <w:ind w:right="113"/>
      <w:jc w:val="both"/>
    </w:pPr>
    <w:rPr>
      <w:rFonts w:ascii="Palatino Linotype" w:eastAsia="Times New Roman" w:hAnsi="Palatino Linotype" w:cs="Times New Roman"/>
      <w:noProof/>
      <w:snapToGrid w:val="0"/>
      <w:color w:val="000000"/>
      <w:kern w:val="0"/>
      <w:sz w:val="14"/>
      <w:szCs w:val="20"/>
      <w:lang w:val="en-GB" w:eastAsia="en-GB"/>
      <w14:ligatures w14:val="none"/>
    </w:rPr>
  </w:style>
  <w:style w:type="table" w:customStyle="1" w:styleId="Mdeck5tablebodythreelines">
    <w:name w:val="M_deck_5_table_body_three_lines"/>
    <w:basedOn w:val="TableNormal"/>
    <w:uiPriority w:val="99"/>
    <w:rsid w:val="00A5797C"/>
    <w:pPr>
      <w:adjustRightInd w:val="0"/>
      <w:snapToGrid w:val="0"/>
      <w:spacing w:after="0" w:line="300" w:lineRule="exact"/>
      <w:jc w:val="center"/>
    </w:pPr>
    <w:rPr>
      <w:rFonts w:ascii="Times New Roman" w:eastAsia="SimSun" w:hAnsi="Times New Roman" w:cs="Times New Roman"/>
      <w:kern w:val="0"/>
      <w:sz w:val="20"/>
      <w:szCs w:val="20"/>
      <w:lang w:val="de-DE" w:eastAsia="de-DE"/>
      <w14:ligatures w14:val="none"/>
    </w:rPr>
    <w:tblPr>
      <w:jc w:val="center"/>
      <w:tblBorders>
        <w:bottom w:val="single" w:sz="8" w:space="0" w:color="auto"/>
      </w:tblBorders>
    </w:tblPr>
    <w:trPr>
      <w:jc w:val="center"/>
    </w:trPr>
    <w:tcPr>
      <w:vAlign w:val="center"/>
    </w:tcPr>
    <w:tblStylePr w:type="firstRow">
      <w:pPr>
        <w:wordWrap/>
        <w:adjustRightInd w:val="0"/>
        <w:snapToGrid w:val="0"/>
        <w:spacing w:beforeLines="0" w:beforeAutospacing="0" w:afterLines="0" w:afterAutospacing="0" w:line="300" w:lineRule="exact"/>
        <w:ind w:leftChars="0" w:left="0" w:rightChars="0" w:right="0" w:firstLineChars="0" w:firstLine="0"/>
        <w:contextualSpacing w:val="0"/>
        <w:mirrorIndents w:val="0"/>
        <w:jc w:val="center"/>
        <w:outlineLvl w:val="9"/>
      </w:pPr>
      <w:rPr>
        <w:rFonts w:ascii="Times New Roman" w:eastAsia="Times New Roman" w:hAnsi="Times New Roman"/>
        <w:b w:val="0"/>
        <w:i w:val="0"/>
        <w:snapToGrid w:val="0"/>
        <w:sz w:val="22"/>
      </w:rPr>
      <w:tblPr/>
      <w:tcPr>
        <w:tcBorders>
          <w:top w:val="single" w:sz="8" w:space="0" w:color="auto"/>
          <w:left w:val="nil"/>
          <w:bottom w:val="single" w:sz="4" w:space="0" w:color="auto"/>
          <w:right w:val="nil"/>
          <w:insideH w:val="nil"/>
          <w:insideV w:val="nil"/>
          <w:tl2br w:val="nil"/>
          <w:tr2bl w:val="nil"/>
        </w:tcBorders>
      </w:tcPr>
    </w:tblStylePr>
  </w:style>
  <w:style w:type="paragraph" w:customStyle="1" w:styleId="MDPI31text">
    <w:name w:val="MDPI_3.1_text"/>
    <w:qFormat/>
    <w:rsid w:val="00A5797C"/>
    <w:pPr>
      <w:adjustRightInd w:val="0"/>
      <w:snapToGrid w:val="0"/>
      <w:spacing w:after="0" w:line="228" w:lineRule="auto"/>
      <w:ind w:left="2608" w:firstLine="425"/>
      <w:jc w:val="both"/>
    </w:pPr>
    <w:rPr>
      <w:rFonts w:ascii="Palatino Linotype" w:eastAsia="Times New Roman" w:hAnsi="Palatino Linotype" w:cs="Times New Roman"/>
      <w:snapToGrid w:val="0"/>
      <w:color w:val="000000"/>
      <w:kern w:val="0"/>
      <w:sz w:val="20"/>
      <w:lang w:eastAsia="de-DE" w:bidi="en-US"/>
      <w14:ligatures w14:val="none"/>
    </w:rPr>
  </w:style>
  <w:style w:type="paragraph" w:customStyle="1" w:styleId="MDPI41tablecaption">
    <w:name w:val="MDPI_4.1_table_caption"/>
    <w:qFormat/>
    <w:rsid w:val="00A5797C"/>
    <w:pPr>
      <w:adjustRightInd w:val="0"/>
      <w:snapToGrid w:val="0"/>
      <w:spacing w:before="240" w:after="120" w:line="228" w:lineRule="auto"/>
      <w:ind w:left="2608"/>
      <w:jc w:val="both"/>
    </w:pPr>
    <w:rPr>
      <w:rFonts w:ascii="Palatino Linotype" w:eastAsia="Times New Roman" w:hAnsi="Palatino Linotype" w:cs="Cordia New"/>
      <w:color w:val="000000"/>
      <w:kern w:val="0"/>
      <w:sz w:val="18"/>
      <w:lang w:eastAsia="de-DE" w:bidi="en-US"/>
      <w14:ligatures w14:val="none"/>
    </w:rPr>
  </w:style>
  <w:style w:type="paragraph" w:customStyle="1" w:styleId="MDPI42tablebody">
    <w:name w:val="MDPI_4.2_table_body"/>
    <w:qFormat/>
    <w:rsid w:val="00A5797C"/>
    <w:pPr>
      <w:adjustRightInd w:val="0"/>
      <w:snapToGrid w:val="0"/>
      <w:spacing w:after="0" w:line="260" w:lineRule="atLeast"/>
      <w:jc w:val="center"/>
    </w:pPr>
    <w:rPr>
      <w:rFonts w:ascii="Palatino Linotype" w:eastAsia="Times New Roman" w:hAnsi="Palatino Linotype" w:cs="Times New Roman"/>
      <w:snapToGrid w:val="0"/>
      <w:color w:val="000000"/>
      <w:kern w:val="0"/>
      <w:sz w:val="20"/>
      <w:szCs w:val="20"/>
      <w:lang w:eastAsia="de-DE" w:bidi="en-US"/>
      <w14:ligatures w14:val="none"/>
    </w:rPr>
  </w:style>
  <w:style w:type="paragraph" w:customStyle="1" w:styleId="MDPI51figurecaption">
    <w:name w:val="MDPI_5.1_figure_caption"/>
    <w:qFormat/>
    <w:rsid w:val="00A5797C"/>
    <w:pPr>
      <w:adjustRightInd w:val="0"/>
      <w:snapToGrid w:val="0"/>
      <w:spacing w:before="120" w:after="240" w:line="228" w:lineRule="auto"/>
      <w:ind w:left="2608"/>
      <w:jc w:val="both"/>
    </w:pPr>
    <w:rPr>
      <w:rFonts w:ascii="Palatino Linotype" w:eastAsia="Times New Roman" w:hAnsi="Palatino Linotype" w:cs="Times New Roman"/>
      <w:color w:val="000000"/>
      <w:kern w:val="0"/>
      <w:sz w:val="18"/>
      <w:szCs w:val="20"/>
      <w:lang w:eastAsia="de-DE" w:bidi="en-US"/>
      <w14:ligatures w14:val="none"/>
    </w:rPr>
  </w:style>
  <w:style w:type="paragraph" w:customStyle="1" w:styleId="MDPI52figure">
    <w:name w:val="MDPI_5.2_figure"/>
    <w:qFormat/>
    <w:rsid w:val="00A5797C"/>
    <w:pPr>
      <w:adjustRightInd w:val="0"/>
      <w:snapToGrid w:val="0"/>
      <w:spacing w:before="240" w:after="120" w:line="240" w:lineRule="auto"/>
      <w:jc w:val="center"/>
    </w:pPr>
    <w:rPr>
      <w:rFonts w:ascii="Palatino Linotype" w:eastAsia="Times New Roman" w:hAnsi="Palatino Linotype" w:cs="Times New Roman"/>
      <w:snapToGrid w:val="0"/>
      <w:color w:val="000000"/>
      <w:kern w:val="0"/>
      <w:sz w:val="20"/>
      <w:szCs w:val="20"/>
      <w:lang w:eastAsia="de-DE" w:bidi="en-US"/>
      <w14:ligatures w14:val="none"/>
    </w:rPr>
  </w:style>
  <w:style w:type="paragraph" w:customStyle="1" w:styleId="MDPI23heading3">
    <w:name w:val="MDPI_2.3_heading3"/>
    <w:qFormat/>
    <w:rsid w:val="00A5797C"/>
    <w:pPr>
      <w:adjustRightInd w:val="0"/>
      <w:snapToGrid w:val="0"/>
      <w:spacing w:before="60" w:after="60" w:line="228" w:lineRule="auto"/>
      <w:ind w:left="2608"/>
      <w:outlineLvl w:val="2"/>
    </w:pPr>
    <w:rPr>
      <w:rFonts w:ascii="Palatino Linotype" w:eastAsia="Times New Roman" w:hAnsi="Palatino Linotype" w:cs="Times New Roman"/>
      <w:snapToGrid w:val="0"/>
      <w:color w:val="000000"/>
      <w:kern w:val="0"/>
      <w:sz w:val="20"/>
      <w:lang w:eastAsia="de-DE" w:bidi="en-US"/>
      <w14:ligatures w14:val="none"/>
    </w:rPr>
  </w:style>
  <w:style w:type="paragraph" w:styleId="Bibliography">
    <w:name w:val="Bibliography"/>
    <w:basedOn w:val="Normal"/>
    <w:next w:val="Normal"/>
    <w:uiPriority w:val="37"/>
    <w:unhideWhenUsed/>
    <w:rsid w:val="00BC15B1"/>
    <w:pPr>
      <w:tabs>
        <w:tab w:val="left" w:pos="504"/>
      </w:tabs>
      <w:spacing w:line="240" w:lineRule="atLeast"/>
      <w:ind w:left="504" w:hanging="504"/>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png"/><Relationship Id="rId3" Type="http://schemas.openxmlformats.org/officeDocument/2006/relationships/styles" Target="styles.xml"/><Relationship Id="rId7" Type="http://schemas.openxmlformats.org/officeDocument/2006/relationships/image" Target="media/image2.png"/><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image" Target="media/image1.png"/><Relationship Id="rId5" Type="http://schemas.openxmlformats.org/officeDocument/2006/relationships/webSettings" Target="webSettings.xml"/><Relationship Id="rId10"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9C2EC454-8F15-4DB3-BA2B-98A0031E8F6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6</Pages>
  <Words>2021</Words>
  <Characters>11944</Characters>
  <Application>Microsoft Office Word</Application>
  <DocSecurity>0</DocSecurity>
  <Lines>209</Lines>
  <Paragraphs>83</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13877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Hassane Lgaz</dc:creator>
  <cp:keywords/>
  <dc:description/>
  <cp:lastModifiedBy>Emilia Hola</cp:lastModifiedBy>
  <cp:revision>2</cp:revision>
  <dcterms:created xsi:type="dcterms:W3CDTF">2023-04-17T14:06:00Z</dcterms:created>
  <dcterms:modified xsi:type="dcterms:W3CDTF">2023-04-17T14:06:00Z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ZOTERO_PREF_1">
    <vt:lpwstr>&lt;data data-version="3" zotero-version="6.0.23"&gt;&lt;session id="b8krukDL"/&gt;&lt;style id="http://www.zotero.org/styles/molecules" hasBibliography="1" bibliographyStyleHasBeenSet="1"/&gt;&lt;prefs&gt;&lt;pref name="fieldType" value="Field"/&gt;&lt;/prefs&gt;&lt;/data&gt;</vt:lpwstr>
  </property>
</Properties>
</file>