
<file path=[Content_Types].xml><?xml version="1.0" encoding="utf-8"?>
<Types xmlns="http://schemas.openxmlformats.org/package/2006/content-types">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9E1B31" w14:textId="00D9BC40" w:rsidR="00CC6DBE" w:rsidRPr="00CC6DBE" w:rsidRDefault="00A8463B" w:rsidP="00CC6DBE">
      <w:pPr>
        <w:snapToGrid w:val="0"/>
        <w:spacing w:line="480" w:lineRule="auto"/>
        <w:jc w:val="center"/>
        <w:rPr>
          <w:rFonts w:ascii="Times New Roman" w:hAnsi="Times New Roman" w:cs="Times New Roman"/>
          <w:b/>
          <w:bCs/>
          <w:sz w:val="30"/>
          <w:szCs w:val="30"/>
        </w:rPr>
      </w:pPr>
      <w:bookmarkStart w:id="0" w:name="OLE_LINK1"/>
      <w:r w:rsidRPr="00A8463B">
        <w:rPr>
          <w:rFonts w:ascii="Times New Roman" w:hAnsi="Times New Roman" w:cs="Times New Roman"/>
          <w:b/>
          <w:bCs/>
          <w:sz w:val="30"/>
          <w:szCs w:val="30"/>
        </w:rPr>
        <w:t>Direct Regeneration of Degraded LiFePO</w:t>
      </w:r>
      <w:r w:rsidRPr="00A8463B">
        <w:rPr>
          <w:rFonts w:ascii="Times New Roman" w:hAnsi="Times New Roman" w:cs="Times New Roman"/>
          <w:b/>
          <w:bCs/>
          <w:sz w:val="30"/>
          <w:szCs w:val="30"/>
          <w:vertAlign w:val="subscript"/>
        </w:rPr>
        <w:t>4</w:t>
      </w:r>
      <w:r w:rsidRPr="00A8463B">
        <w:rPr>
          <w:rFonts w:ascii="Times New Roman" w:hAnsi="Times New Roman" w:cs="Times New Roman"/>
          <w:b/>
          <w:bCs/>
          <w:sz w:val="30"/>
          <w:szCs w:val="30"/>
        </w:rPr>
        <w:t xml:space="preserve"> Cathode via </w:t>
      </w:r>
      <w:r w:rsidRPr="00A8463B">
        <w:rPr>
          <w:rFonts w:ascii="Times New Roman" w:hAnsi="Times New Roman" w:cs="Times New Roman"/>
          <w:b/>
          <w:bCs/>
          <w:sz w:val="30"/>
          <w:szCs w:val="30"/>
        </w:rPr>
        <w:br/>
        <w:t xml:space="preserve">Reductive Solution </w:t>
      </w:r>
      <w:proofErr w:type="spellStart"/>
      <w:r w:rsidRPr="00A8463B">
        <w:rPr>
          <w:rFonts w:ascii="Times New Roman" w:hAnsi="Times New Roman" w:cs="Times New Roman"/>
          <w:b/>
          <w:bCs/>
          <w:sz w:val="30"/>
          <w:szCs w:val="30"/>
        </w:rPr>
        <w:t>Relithiation</w:t>
      </w:r>
      <w:proofErr w:type="spellEnd"/>
      <w:r w:rsidRPr="00A8463B">
        <w:rPr>
          <w:rFonts w:ascii="Times New Roman" w:hAnsi="Times New Roman" w:cs="Times New Roman"/>
          <w:b/>
          <w:bCs/>
          <w:sz w:val="30"/>
          <w:szCs w:val="30"/>
        </w:rPr>
        <w:t xml:space="preserve"> Regeneration Process</w:t>
      </w:r>
    </w:p>
    <w:p w14:paraId="46B092D1" w14:textId="77777777" w:rsidR="00CC6DBE" w:rsidRPr="00EB1DD2" w:rsidRDefault="00CC6DBE" w:rsidP="0034080E">
      <w:pPr>
        <w:widowControl/>
        <w:snapToGrid w:val="0"/>
        <w:spacing w:line="480" w:lineRule="auto"/>
        <w:jc w:val="center"/>
        <w:rPr>
          <w:rFonts w:ascii="Times New Roman" w:hAnsi="Times New Roman" w:cs="Times New Roman"/>
          <w:b/>
          <w:bCs/>
          <w:sz w:val="30"/>
          <w:szCs w:val="30"/>
        </w:rPr>
      </w:pPr>
    </w:p>
    <w:bookmarkEnd w:id="0"/>
    <w:p w14:paraId="3FB45DA5" w14:textId="77777777" w:rsidR="00886FF0" w:rsidRPr="00BD66B4" w:rsidRDefault="00886FF0" w:rsidP="00886FF0">
      <w:pPr>
        <w:pStyle w:val="src"/>
        <w:shd w:val="clear" w:color="auto" w:fill="FFFFFF"/>
        <w:snapToGrid w:val="0"/>
        <w:spacing w:before="0" w:beforeAutospacing="0" w:after="0" w:afterAutospacing="0" w:line="480" w:lineRule="auto"/>
        <w:rPr>
          <w:rFonts w:ascii="Times New Roman" w:hAnsi="Times New Roman" w:cs="Times New Roman"/>
          <w:color w:val="000000"/>
          <w:sz w:val="21"/>
          <w:szCs w:val="21"/>
        </w:rPr>
      </w:pPr>
      <w:proofErr w:type="spellStart"/>
      <w:r w:rsidRPr="00BD66B4">
        <w:rPr>
          <w:rFonts w:ascii="Times New Roman" w:hAnsi="Times New Roman" w:cs="Times New Roman"/>
          <w:color w:val="000000"/>
          <w:sz w:val="21"/>
          <w:szCs w:val="21"/>
        </w:rPr>
        <w:t>Chenchen</w:t>
      </w:r>
      <w:proofErr w:type="spellEnd"/>
      <w:r w:rsidRPr="00BD66B4">
        <w:rPr>
          <w:rFonts w:ascii="Times New Roman" w:hAnsi="Times New Roman" w:cs="Times New Roman"/>
          <w:color w:val="000000"/>
          <w:sz w:val="21"/>
          <w:szCs w:val="21"/>
        </w:rPr>
        <w:t xml:space="preserve"> Li</w:t>
      </w:r>
      <w:r w:rsidRPr="00BD66B4">
        <w:rPr>
          <w:rFonts w:ascii="Times New Roman" w:hAnsi="Times New Roman" w:cs="Times New Roman"/>
          <w:color w:val="000000"/>
          <w:sz w:val="21"/>
          <w:szCs w:val="21"/>
          <w:vertAlign w:val="superscript"/>
        </w:rPr>
        <w:t>1,2</w:t>
      </w:r>
      <w:r w:rsidRPr="00BD66B4">
        <w:rPr>
          <w:rFonts w:ascii="Times New Roman" w:hAnsi="Times New Roman" w:cs="Times New Roman"/>
          <w:color w:val="000000"/>
          <w:sz w:val="21"/>
          <w:szCs w:val="21"/>
        </w:rPr>
        <w:t xml:space="preserve">, </w:t>
      </w:r>
      <w:r>
        <w:rPr>
          <w:rFonts w:ascii="Times New Roman" w:hAnsi="Times New Roman" w:cs="Times New Roman"/>
          <w:color w:val="000000"/>
          <w:sz w:val="21"/>
          <w:szCs w:val="21"/>
        </w:rPr>
        <w:t>Rui Gong</w:t>
      </w:r>
      <w:r w:rsidRPr="00BD66B4">
        <w:rPr>
          <w:rFonts w:ascii="Times New Roman" w:hAnsi="Times New Roman" w:cs="Times New Roman"/>
          <w:color w:val="000000"/>
          <w:sz w:val="21"/>
          <w:szCs w:val="21"/>
          <w:vertAlign w:val="superscript"/>
        </w:rPr>
        <w:t>1,2</w:t>
      </w:r>
      <w:r w:rsidRPr="00BD66B4">
        <w:rPr>
          <w:rFonts w:ascii="Times New Roman" w:hAnsi="Times New Roman" w:cs="Times New Roman"/>
          <w:color w:val="000000"/>
          <w:sz w:val="21"/>
          <w:szCs w:val="21"/>
        </w:rPr>
        <w:t>, Yingjie Zhang</w:t>
      </w:r>
      <w:r w:rsidRPr="00BD66B4">
        <w:rPr>
          <w:rFonts w:ascii="Times New Roman" w:hAnsi="Times New Roman" w:cs="Times New Roman"/>
          <w:color w:val="000000"/>
          <w:sz w:val="21"/>
          <w:szCs w:val="21"/>
          <w:vertAlign w:val="superscript"/>
        </w:rPr>
        <w:t>1,2</w:t>
      </w:r>
      <w:r w:rsidRPr="00BD66B4">
        <w:rPr>
          <w:rFonts w:ascii="Times New Roman" w:hAnsi="Times New Roman" w:cs="Times New Roman"/>
          <w:color w:val="000000"/>
          <w:sz w:val="21"/>
          <w:szCs w:val="21"/>
        </w:rPr>
        <w:t>, Qi Meng</w:t>
      </w:r>
      <w:r w:rsidRPr="00BD66B4">
        <w:rPr>
          <w:rFonts w:ascii="Times New Roman" w:hAnsi="Times New Roman" w:cs="Times New Roman"/>
          <w:color w:val="000000"/>
          <w:sz w:val="21"/>
          <w:szCs w:val="21"/>
          <w:vertAlign w:val="superscript"/>
        </w:rPr>
        <w:t>1,2*</w:t>
      </w:r>
      <w:r w:rsidRPr="00BD66B4">
        <w:rPr>
          <w:rFonts w:ascii="Times New Roman" w:hAnsi="Times New Roman" w:cs="Times New Roman"/>
          <w:color w:val="000000"/>
          <w:sz w:val="21"/>
          <w:szCs w:val="21"/>
        </w:rPr>
        <w:t>, Peng Dong</w:t>
      </w:r>
      <w:r w:rsidRPr="00BD66B4">
        <w:rPr>
          <w:rFonts w:ascii="Times New Roman" w:hAnsi="Times New Roman" w:cs="Times New Roman"/>
          <w:color w:val="000000"/>
          <w:sz w:val="21"/>
          <w:szCs w:val="21"/>
          <w:vertAlign w:val="superscript"/>
        </w:rPr>
        <w:t>1,2**</w:t>
      </w:r>
    </w:p>
    <w:p w14:paraId="05795A9D" w14:textId="77777777" w:rsidR="00886FF0" w:rsidRPr="00BD66B4" w:rsidRDefault="00886FF0" w:rsidP="00886FF0">
      <w:pPr>
        <w:pStyle w:val="src"/>
        <w:shd w:val="clear" w:color="auto" w:fill="FFFFFF"/>
        <w:snapToGrid w:val="0"/>
        <w:spacing w:before="0" w:beforeAutospacing="0" w:after="0" w:afterAutospacing="0" w:line="480" w:lineRule="auto"/>
        <w:jc w:val="both"/>
        <w:rPr>
          <w:rFonts w:ascii="Times New Roman" w:hAnsi="Times New Roman" w:cs="Times New Roman"/>
          <w:color w:val="000000"/>
          <w:sz w:val="21"/>
          <w:szCs w:val="21"/>
        </w:rPr>
      </w:pPr>
      <w:r w:rsidRPr="00BD66B4">
        <w:rPr>
          <w:rFonts w:ascii="Times New Roman" w:hAnsi="Times New Roman" w:cs="Times New Roman"/>
          <w:color w:val="000000"/>
          <w:sz w:val="21"/>
          <w:szCs w:val="21"/>
          <w:vertAlign w:val="superscript"/>
        </w:rPr>
        <w:t>1</w:t>
      </w:r>
      <w:r w:rsidRPr="00BD66B4">
        <w:rPr>
          <w:rFonts w:ascii="Times New Roman" w:hAnsi="Times New Roman" w:cs="Times New Roman"/>
          <w:color w:val="000000"/>
          <w:sz w:val="21"/>
          <w:szCs w:val="21"/>
        </w:rPr>
        <w:t>Faculty of Metallurgy and Energy Engineering, Kunming University of Science and Technology, Kunming 650093, China</w:t>
      </w:r>
    </w:p>
    <w:p w14:paraId="1B95DA15" w14:textId="77777777" w:rsidR="00886FF0" w:rsidRPr="00BD66B4" w:rsidRDefault="00886FF0" w:rsidP="00886FF0">
      <w:pPr>
        <w:pStyle w:val="src"/>
        <w:shd w:val="clear" w:color="auto" w:fill="FFFFFF"/>
        <w:snapToGrid w:val="0"/>
        <w:spacing w:before="0" w:beforeAutospacing="0" w:after="0" w:afterAutospacing="0" w:line="480" w:lineRule="auto"/>
        <w:jc w:val="both"/>
        <w:rPr>
          <w:rFonts w:ascii="Times New Roman" w:hAnsi="Times New Roman" w:cs="Times New Roman"/>
          <w:color w:val="000000"/>
          <w:sz w:val="21"/>
          <w:szCs w:val="21"/>
        </w:rPr>
      </w:pPr>
      <w:r w:rsidRPr="00BD66B4">
        <w:rPr>
          <w:rFonts w:ascii="Times New Roman" w:hAnsi="Times New Roman" w:cs="Times New Roman"/>
          <w:color w:val="000000"/>
          <w:sz w:val="21"/>
          <w:szCs w:val="21"/>
          <w:vertAlign w:val="superscript"/>
        </w:rPr>
        <w:t>2</w:t>
      </w:r>
      <w:r w:rsidRPr="00BD66B4">
        <w:rPr>
          <w:rFonts w:ascii="Times New Roman" w:hAnsi="Times New Roman" w:cs="Times New Roman"/>
          <w:color w:val="000000"/>
          <w:sz w:val="21"/>
          <w:szCs w:val="21"/>
        </w:rPr>
        <w:t>National and Local Joint Engineering Laboratory for Lithium-ion Batteries and Materials Preparation Technology, Key Laboratory of Advanced Battery Materials of Yunnan Province, Kunming University of Science and Technology, Kunming 650093, China</w:t>
      </w:r>
    </w:p>
    <w:p w14:paraId="75017C41" w14:textId="5679A528" w:rsidR="00E96CB3" w:rsidRDefault="00E96CB3"/>
    <w:p w14:paraId="13C1C1CE" w14:textId="0B34C040" w:rsidR="00546619" w:rsidRDefault="00546619"/>
    <w:p w14:paraId="01C00483" w14:textId="3E79BDFA" w:rsidR="00546619" w:rsidRDefault="00546619"/>
    <w:p w14:paraId="5F79F5FD" w14:textId="64DED768" w:rsidR="00546619" w:rsidRDefault="00546619"/>
    <w:p w14:paraId="53FA8B38" w14:textId="4DBBC666" w:rsidR="00546619" w:rsidRDefault="00546619"/>
    <w:p w14:paraId="37B715D7" w14:textId="05CDAA55" w:rsidR="00546619" w:rsidRDefault="00546619"/>
    <w:p w14:paraId="3E0C2E75" w14:textId="745F2574" w:rsidR="00546619" w:rsidRDefault="00546619"/>
    <w:p w14:paraId="012CC303" w14:textId="2D4204E9" w:rsidR="00546619" w:rsidRDefault="00546619"/>
    <w:p w14:paraId="24655034" w14:textId="77777777" w:rsidR="00010D19" w:rsidRPr="00F5746A" w:rsidRDefault="00010D19" w:rsidP="00010D19">
      <w:pPr>
        <w:spacing w:line="480" w:lineRule="auto"/>
        <w:rPr>
          <w:rFonts w:ascii="Times New Roman" w:hAnsi="Times New Roman" w:cs="Times New Roman"/>
          <w:color w:val="000000" w:themeColor="text1"/>
          <w:shd w:val="clear" w:color="auto" w:fill="FFFFFF"/>
        </w:rPr>
      </w:pPr>
      <w:r w:rsidRPr="00F5746A">
        <w:rPr>
          <w:rFonts w:ascii="Times New Roman" w:hAnsi="Times New Roman" w:cs="Times New Roman"/>
          <w:color w:val="000000" w:themeColor="text1"/>
          <w:shd w:val="clear" w:color="auto" w:fill="FFFFFF"/>
        </w:rPr>
        <w:t>* Corresponding author.</w:t>
      </w:r>
    </w:p>
    <w:p w14:paraId="472B3072" w14:textId="4A969337" w:rsidR="00492ADF" w:rsidRDefault="00010D19" w:rsidP="00010D19">
      <w:pPr>
        <w:tabs>
          <w:tab w:val="center" w:pos="4153"/>
          <w:tab w:val="right" w:pos="8306"/>
        </w:tabs>
        <w:snapToGrid w:val="0"/>
        <w:spacing w:line="480" w:lineRule="auto"/>
        <w:jc w:val="left"/>
      </w:pPr>
      <w:r w:rsidRPr="00F5746A">
        <w:rPr>
          <w:rFonts w:ascii="Times New Roman" w:hAnsi="Times New Roman" w:cs="Times New Roman"/>
          <w:color w:val="000000" w:themeColor="text1"/>
          <w:shd w:val="clear" w:color="auto" w:fill="FFFFFF"/>
        </w:rPr>
        <w:t>E-mail addresses:</w:t>
      </w:r>
      <w:r w:rsidR="00492ADF">
        <w:rPr>
          <w:rFonts w:ascii="Times New Roman" w:hAnsi="Times New Roman" w:cs="Times New Roman"/>
          <w:color w:val="000000" w:themeColor="text1"/>
          <w:shd w:val="clear" w:color="auto" w:fill="FFFFFF"/>
        </w:rPr>
        <w:t xml:space="preserve"> </w:t>
      </w:r>
      <w:hyperlink r:id="rId6" w:history="1">
        <w:r w:rsidR="00492ADF" w:rsidRPr="00D675F5">
          <w:rPr>
            <w:rStyle w:val="Hyperlink"/>
          </w:rPr>
          <w:t>mengqi315117@126.com</w:t>
        </w:r>
      </w:hyperlink>
      <w:r w:rsidR="00492ADF">
        <w:t xml:space="preserve">. (Qi Meng) </w:t>
      </w:r>
    </w:p>
    <w:p w14:paraId="17BB7597" w14:textId="3753E7E8" w:rsidR="00546619" w:rsidRDefault="00CC6DBE" w:rsidP="00CC6DBE">
      <w:pPr>
        <w:tabs>
          <w:tab w:val="center" w:pos="4153"/>
          <w:tab w:val="right" w:pos="8306"/>
        </w:tabs>
        <w:snapToGrid w:val="0"/>
        <w:spacing w:line="480" w:lineRule="auto"/>
        <w:jc w:val="left"/>
      </w:pPr>
      <w:r>
        <w:rPr>
          <w:rFonts w:hint="eastAsia"/>
        </w:rPr>
        <w:t xml:space="preserve"> </w:t>
      </w:r>
      <w:r>
        <w:t xml:space="preserve">              </w:t>
      </w:r>
      <w:hyperlink r:id="rId7" w:history="1">
        <w:r w:rsidRPr="00922056">
          <w:rPr>
            <w:rStyle w:val="Hyperlink"/>
          </w:rPr>
          <w:t>dongpeng2001@126.com</w:t>
        </w:r>
      </w:hyperlink>
      <w:r>
        <w:t xml:space="preserve"> (Peng Dong)</w:t>
      </w:r>
    </w:p>
    <w:p w14:paraId="0A7512D8" w14:textId="4860A157" w:rsidR="00546619" w:rsidRDefault="00546619"/>
    <w:p w14:paraId="3E1A5B46" w14:textId="142C7003" w:rsidR="00546619" w:rsidRDefault="00546619"/>
    <w:p w14:paraId="07D1E5EE" w14:textId="1A6E8FD7" w:rsidR="00546619" w:rsidRDefault="00546619"/>
    <w:p w14:paraId="1E90DD4F" w14:textId="3686EE00" w:rsidR="00546619" w:rsidRDefault="00546619"/>
    <w:p w14:paraId="716548B8" w14:textId="55A3A910" w:rsidR="00546619" w:rsidRDefault="00546619"/>
    <w:p w14:paraId="0299AC26" w14:textId="5C6DDF68" w:rsidR="00546619" w:rsidRDefault="00546619"/>
    <w:p w14:paraId="7E207C0F" w14:textId="3F445624" w:rsidR="00546619" w:rsidRDefault="00546619"/>
    <w:p w14:paraId="3BA9854F" w14:textId="716C068E" w:rsidR="00546619" w:rsidRDefault="00546619"/>
    <w:p w14:paraId="58447423" w14:textId="55285AF9" w:rsidR="00546619" w:rsidRDefault="00546619"/>
    <w:p w14:paraId="0836F0C1" w14:textId="3EBEDDFA" w:rsidR="00546619" w:rsidRDefault="00546619"/>
    <w:p w14:paraId="3B568CB3" w14:textId="02607072" w:rsidR="00546619" w:rsidRDefault="00546619"/>
    <w:p w14:paraId="48C6687B" w14:textId="7EA310D2" w:rsidR="00546619" w:rsidRDefault="00546619"/>
    <w:p w14:paraId="50C94CD6" w14:textId="55959405" w:rsidR="00546619" w:rsidRDefault="00546619"/>
    <w:p w14:paraId="665C5B55" w14:textId="0028ABB7" w:rsidR="00546619" w:rsidRDefault="00546619"/>
    <w:p w14:paraId="0C84D3E0" w14:textId="5EC0EA80" w:rsidR="00546619" w:rsidRDefault="00546619"/>
    <w:p w14:paraId="29F11E32" w14:textId="5283998C" w:rsidR="00546619" w:rsidRDefault="00010D19" w:rsidP="00010D19">
      <w:pPr>
        <w:jc w:val="center"/>
      </w:pPr>
      <w:r>
        <w:rPr>
          <w:noProof/>
        </w:rPr>
        <w:lastRenderedPageBreak/>
        <w:drawing>
          <wp:inline distT="0" distB="0" distL="0" distR="0" wp14:anchorId="1DA65F96" wp14:editId="1A367BE7">
            <wp:extent cx="3506525" cy="2768998"/>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8" cstate="print">
                      <a:extLst>
                        <a:ext uri="{28A0092B-C50C-407E-A947-70E740481C1C}">
                          <a14:useLocalDpi xmlns:a14="http://schemas.microsoft.com/office/drawing/2010/main" val="0"/>
                        </a:ext>
                      </a:extLst>
                    </a:blip>
                    <a:stretch>
                      <a:fillRect/>
                    </a:stretch>
                  </pic:blipFill>
                  <pic:spPr>
                    <a:xfrm>
                      <a:off x="0" y="0"/>
                      <a:ext cx="3520761" cy="2780240"/>
                    </a:xfrm>
                    <a:prstGeom prst="rect">
                      <a:avLst/>
                    </a:prstGeom>
                  </pic:spPr>
                </pic:pic>
              </a:graphicData>
            </a:graphic>
          </wp:inline>
        </w:drawing>
      </w:r>
    </w:p>
    <w:p w14:paraId="49848335" w14:textId="3CFFEFBE" w:rsidR="00546619" w:rsidRPr="008B57D3" w:rsidRDefault="008B57D3">
      <w:pPr>
        <w:rPr>
          <w:sz w:val="21"/>
        </w:rPr>
      </w:pPr>
      <w:r w:rsidRPr="008B57D3">
        <w:rPr>
          <w:rFonts w:ascii="Times New Roman" w:eastAsia="等线" w:hAnsi="Times New Roman"/>
          <w:b/>
          <w:bCs/>
          <w:sz w:val="21"/>
        </w:rPr>
        <w:t>Figure</w:t>
      </w:r>
      <w:r w:rsidRPr="008B57D3">
        <w:rPr>
          <w:rFonts w:ascii="Times New Roman" w:hAnsi="Times New Roman" w:cs="Times New Roman"/>
          <w:b/>
          <w:bCs/>
          <w:sz w:val="21"/>
        </w:rPr>
        <w:t xml:space="preserve"> </w:t>
      </w:r>
      <w:r w:rsidR="00010D19" w:rsidRPr="008B57D3">
        <w:rPr>
          <w:rFonts w:ascii="Times New Roman" w:hAnsi="Times New Roman" w:cs="Times New Roman"/>
          <w:b/>
          <w:bCs/>
          <w:sz w:val="21"/>
        </w:rPr>
        <w:t>S1.</w:t>
      </w:r>
      <w:r w:rsidR="00010D19" w:rsidRPr="008B57D3">
        <w:rPr>
          <w:rFonts w:ascii="Times New Roman" w:hAnsi="Times New Roman" w:cs="Times New Roman"/>
          <w:sz w:val="21"/>
        </w:rPr>
        <w:t xml:space="preserve"> </w:t>
      </w:r>
      <w:r w:rsidR="00010D19" w:rsidRPr="008B57D3">
        <w:rPr>
          <w:rFonts w:ascii="Times New Roman" w:hAnsi="Times New Roman" w:cs="Times New Roman" w:hint="eastAsia"/>
          <w:sz w:val="21"/>
        </w:rPr>
        <w:t>(</w:t>
      </w:r>
      <w:r w:rsidR="00010D19" w:rsidRPr="008B57D3">
        <w:rPr>
          <w:rFonts w:ascii="Times New Roman" w:hAnsi="Times New Roman" w:cs="Times New Roman"/>
          <w:sz w:val="21"/>
        </w:rPr>
        <w:t>a) for ionization potential of organic acids, (b) for ionization potential of inorganic acids.</w:t>
      </w:r>
    </w:p>
    <w:p w14:paraId="5425B182" w14:textId="2E595BF5" w:rsidR="00546619" w:rsidRDefault="00546619"/>
    <w:p w14:paraId="78DCDDDA" w14:textId="4E3F3BC3" w:rsidR="00156FA0" w:rsidRPr="00156FA0" w:rsidRDefault="00E24F88" w:rsidP="00156FA0">
      <w:pPr>
        <w:ind w:firstLineChars="200" w:firstLine="420"/>
        <w:rPr>
          <w:rFonts w:ascii="Times New Roman" w:hAnsi="Times New Roman" w:cs="Times New Roman"/>
          <w:sz w:val="21"/>
        </w:rPr>
      </w:pPr>
      <w:r w:rsidRPr="00E24F88">
        <w:rPr>
          <w:rFonts w:ascii="Times New Roman" w:hAnsi="Times New Roman" w:cs="Times New Roman"/>
          <w:sz w:val="21"/>
        </w:rPr>
        <w:t xml:space="preserve">For the hydrothermal reduction process, we conducted experiments at temperature gradients of 80, 100, 120, 150, and 180 degrees Celsius to investigate the lattice structure restoration of regenerated materials from waste under different temperature conditions, as shown in </w:t>
      </w:r>
      <w:r w:rsidRPr="00E24F88">
        <w:rPr>
          <w:rFonts w:ascii="Times New Roman" w:hAnsi="Times New Roman" w:cs="Times New Roman"/>
          <w:b/>
          <w:bCs/>
          <w:sz w:val="21"/>
        </w:rPr>
        <w:t>Fig. S2</w:t>
      </w:r>
      <w:r w:rsidRPr="00E24F88">
        <w:rPr>
          <w:rFonts w:ascii="Times New Roman" w:hAnsi="Times New Roman" w:cs="Times New Roman"/>
          <w:sz w:val="21"/>
        </w:rPr>
        <w:t>. The results indicate that the optimal lattice restoration occurs at 150°C, while further increasing the temperature to 180°C does not significantly improve the restoration. Therefore, we selected 150°C for our experiments.</w:t>
      </w:r>
    </w:p>
    <w:p w14:paraId="336443F5" w14:textId="288FEC44" w:rsidR="004935C7" w:rsidRPr="00156FA0" w:rsidRDefault="004935C7"/>
    <w:p w14:paraId="3467B383" w14:textId="2B0859AF" w:rsidR="004935C7" w:rsidRDefault="00571F9D">
      <w:r>
        <w:rPr>
          <w:noProof/>
        </w:rPr>
        <w:drawing>
          <wp:inline distT="0" distB="0" distL="0" distR="0" wp14:anchorId="7A655561" wp14:editId="78CB8382">
            <wp:extent cx="5274310" cy="2568575"/>
            <wp:effectExtent l="0" t="0" r="0" b="31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2568575"/>
                    </a:xfrm>
                    <a:prstGeom prst="rect">
                      <a:avLst/>
                    </a:prstGeom>
                  </pic:spPr>
                </pic:pic>
              </a:graphicData>
            </a:graphic>
          </wp:inline>
        </w:drawing>
      </w:r>
    </w:p>
    <w:p w14:paraId="15229FDF" w14:textId="0F1625BB" w:rsidR="004935C7" w:rsidRDefault="008B57D3" w:rsidP="00571F9D">
      <w:pPr>
        <w:jc w:val="center"/>
        <w:rPr>
          <w:rFonts w:ascii="Times New Roman" w:hAnsi="Times New Roman" w:cs="Times New Roman"/>
          <w:sz w:val="21"/>
        </w:rPr>
      </w:pPr>
      <w:r w:rsidRPr="008B57D3">
        <w:rPr>
          <w:rFonts w:ascii="Times New Roman" w:eastAsia="等线" w:hAnsi="Times New Roman"/>
          <w:b/>
          <w:bCs/>
          <w:sz w:val="21"/>
        </w:rPr>
        <w:t>Figure</w:t>
      </w:r>
      <w:r w:rsidRPr="008B57D3">
        <w:rPr>
          <w:rFonts w:ascii="Times New Roman" w:hAnsi="Times New Roman" w:cs="Times New Roman"/>
          <w:b/>
          <w:bCs/>
          <w:sz w:val="21"/>
        </w:rPr>
        <w:t xml:space="preserve"> </w:t>
      </w:r>
      <w:r>
        <w:rPr>
          <w:rFonts w:ascii="Times New Roman" w:hAnsi="Times New Roman" w:cs="Times New Roman"/>
          <w:b/>
          <w:bCs/>
          <w:sz w:val="21"/>
        </w:rPr>
        <w:t>S</w:t>
      </w:r>
      <w:r w:rsidR="00571F9D" w:rsidRPr="008B57D3">
        <w:rPr>
          <w:rFonts w:ascii="Times New Roman" w:hAnsi="Times New Roman" w:cs="Times New Roman"/>
          <w:b/>
          <w:bCs/>
          <w:sz w:val="21"/>
        </w:rPr>
        <w:t>2.</w:t>
      </w:r>
      <w:r w:rsidR="00571F9D" w:rsidRPr="008B57D3">
        <w:rPr>
          <w:rFonts w:ascii="Times New Roman" w:hAnsi="Times New Roman" w:cs="Times New Roman"/>
          <w:sz w:val="21"/>
        </w:rPr>
        <w:t xml:space="preserve"> Hydrothermal reduction</w:t>
      </w:r>
      <w:r w:rsidR="00571F9D" w:rsidRPr="00571F9D">
        <w:rPr>
          <w:rFonts w:ascii="Times New Roman" w:hAnsi="Times New Roman" w:cs="Times New Roman"/>
          <w:sz w:val="21"/>
        </w:rPr>
        <w:t xml:space="preserve"> temperature exploration experiment</w:t>
      </w:r>
      <w:r w:rsidR="00571F9D">
        <w:rPr>
          <w:rFonts w:ascii="Times New Roman" w:hAnsi="Times New Roman" w:cs="Times New Roman" w:hint="eastAsia"/>
          <w:sz w:val="21"/>
        </w:rPr>
        <w:t>.</w:t>
      </w:r>
    </w:p>
    <w:p w14:paraId="31423FA0" w14:textId="77777777" w:rsidR="00E24F88" w:rsidRDefault="00E24F88" w:rsidP="00E24F88">
      <w:pPr>
        <w:ind w:firstLineChars="200" w:firstLine="422"/>
        <w:rPr>
          <w:rFonts w:ascii="Times New Roman" w:hAnsi="Times New Roman" w:cs="Times New Roman"/>
          <w:b/>
          <w:bCs/>
          <w:sz w:val="21"/>
        </w:rPr>
      </w:pPr>
    </w:p>
    <w:p w14:paraId="0274158C" w14:textId="77777777" w:rsidR="00E24F88" w:rsidRDefault="00E24F88" w:rsidP="00E24F88">
      <w:pPr>
        <w:ind w:firstLineChars="200" w:firstLine="422"/>
        <w:rPr>
          <w:rFonts w:ascii="Times New Roman" w:hAnsi="Times New Roman" w:cs="Times New Roman"/>
          <w:b/>
          <w:bCs/>
          <w:sz w:val="21"/>
        </w:rPr>
      </w:pPr>
    </w:p>
    <w:p w14:paraId="43CF10E5" w14:textId="77777777" w:rsidR="00E24F88" w:rsidRDefault="00E24F88" w:rsidP="00E24F88">
      <w:pPr>
        <w:ind w:firstLineChars="200" w:firstLine="422"/>
        <w:rPr>
          <w:rFonts w:ascii="Times New Roman" w:hAnsi="Times New Roman" w:cs="Times New Roman"/>
          <w:b/>
          <w:bCs/>
          <w:sz w:val="21"/>
        </w:rPr>
      </w:pPr>
    </w:p>
    <w:p w14:paraId="0AA534AC" w14:textId="77777777" w:rsidR="00E24F88" w:rsidRDefault="00E24F88" w:rsidP="00E24F88">
      <w:pPr>
        <w:ind w:firstLineChars="200" w:firstLine="422"/>
        <w:rPr>
          <w:rFonts w:ascii="Times New Roman" w:hAnsi="Times New Roman" w:cs="Times New Roman"/>
          <w:b/>
          <w:bCs/>
          <w:sz w:val="21"/>
        </w:rPr>
      </w:pPr>
    </w:p>
    <w:p w14:paraId="4F0D2316" w14:textId="77777777" w:rsidR="00E24F88" w:rsidRDefault="00E24F88" w:rsidP="00E24F88">
      <w:pPr>
        <w:ind w:firstLineChars="200" w:firstLine="422"/>
        <w:rPr>
          <w:rFonts w:ascii="Times New Roman" w:hAnsi="Times New Roman" w:cs="Times New Roman"/>
          <w:b/>
          <w:bCs/>
          <w:sz w:val="21"/>
        </w:rPr>
      </w:pPr>
    </w:p>
    <w:p w14:paraId="3A0E0241" w14:textId="77777777" w:rsidR="00E24F88" w:rsidRDefault="00E24F88" w:rsidP="00E24F88">
      <w:pPr>
        <w:ind w:firstLineChars="200" w:firstLine="422"/>
        <w:rPr>
          <w:rFonts w:ascii="Times New Roman" w:hAnsi="Times New Roman" w:cs="Times New Roman"/>
          <w:b/>
          <w:bCs/>
          <w:sz w:val="21"/>
        </w:rPr>
      </w:pPr>
    </w:p>
    <w:p w14:paraId="35D7F097" w14:textId="77777777" w:rsidR="00E24F88" w:rsidRDefault="00E24F88" w:rsidP="00E24F88">
      <w:pPr>
        <w:ind w:firstLineChars="200" w:firstLine="422"/>
        <w:rPr>
          <w:rFonts w:ascii="Times New Roman" w:hAnsi="Times New Roman" w:cs="Times New Roman"/>
          <w:b/>
          <w:bCs/>
          <w:sz w:val="21"/>
        </w:rPr>
      </w:pPr>
    </w:p>
    <w:p w14:paraId="00F29379" w14:textId="46794850" w:rsidR="00E24F88" w:rsidRPr="00E24F88" w:rsidRDefault="00E24F88" w:rsidP="00E24F88">
      <w:pPr>
        <w:ind w:firstLineChars="200" w:firstLine="422"/>
        <w:rPr>
          <w:rFonts w:ascii="Times New Roman" w:hAnsi="Times New Roman" w:cs="Times New Roman"/>
          <w:sz w:val="21"/>
        </w:rPr>
      </w:pPr>
      <w:r w:rsidRPr="00E24F88">
        <w:rPr>
          <w:rFonts w:ascii="Times New Roman" w:hAnsi="Times New Roman" w:cs="Times New Roman"/>
          <w:b/>
          <w:bCs/>
          <w:sz w:val="21"/>
        </w:rPr>
        <w:lastRenderedPageBreak/>
        <w:t>Fig. S3</w:t>
      </w:r>
      <w:r w:rsidRPr="00E24F88">
        <w:rPr>
          <w:rFonts w:ascii="Times New Roman" w:hAnsi="Times New Roman" w:cs="Times New Roman"/>
          <w:sz w:val="21"/>
        </w:rPr>
        <w:t xml:space="preserve"> presents the XRD patterns of regenerated cathode materials under hydrothermal conditions of 150°C for 5 hours with varying concentrations of ascorbic acid and lithium hydroxide. As shown in </w:t>
      </w:r>
      <w:r w:rsidRPr="00E24F88">
        <w:rPr>
          <w:rFonts w:ascii="Times New Roman" w:hAnsi="Times New Roman" w:cs="Times New Roman"/>
          <w:b/>
          <w:bCs/>
          <w:sz w:val="21"/>
        </w:rPr>
        <w:t>Fig. S3a</w:t>
      </w:r>
      <w:r w:rsidRPr="00E24F88">
        <w:rPr>
          <w:rFonts w:ascii="Times New Roman" w:hAnsi="Times New Roman" w:cs="Times New Roman"/>
          <w:sz w:val="21"/>
        </w:rPr>
        <w:t>, the diffraction peaks of regenerated cathode materials do not match the standard and exhibit impurity peaks at an ascorbic acid concentration of 0.3 mol/L under excessive lithium ion concentrations, indicating that lower concentrations are insufficient for restoring the crystal structure of spent cathode materials. When the ascorbic acid concentration increases from 0.3 mol/L to 0.9 mol/L, the diffraction peaks of the regenerated cathode materials align well with the standard. At a concentration of 1.2 mol/L, the diffraction peaks almost match the standard. These results suggest that an increased amount of reductant within a certain range aids in compensating for lithium loss.</w:t>
      </w:r>
    </w:p>
    <w:p w14:paraId="52FCA523" w14:textId="1AC6BAA7" w:rsidR="00E24F88" w:rsidRPr="00E24F88" w:rsidRDefault="00E24F88" w:rsidP="00E24F88">
      <w:pPr>
        <w:ind w:firstLineChars="200" w:firstLine="422"/>
        <w:rPr>
          <w:rFonts w:ascii="Times New Roman" w:hAnsi="Times New Roman" w:cs="Times New Roman"/>
          <w:sz w:val="21"/>
        </w:rPr>
      </w:pPr>
      <w:r w:rsidRPr="00E24F88">
        <w:rPr>
          <w:rFonts w:ascii="Times New Roman" w:hAnsi="Times New Roman" w:cs="Times New Roman"/>
          <w:b/>
          <w:bCs/>
          <w:sz w:val="21"/>
        </w:rPr>
        <w:t>Fig. S3b</w:t>
      </w:r>
      <w:r w:rsidRPr="00E24F88">
        <w:rPr>
          <w:rFonts w:ascii="Times New Roman" w:hAnsi="Times New Roman" w:cs="Times New Roman"/>
          <w:sz w:val="21"/>
        </w:rPr>
        <w:t xml:space="preserve"> shows the XRD patterns of regenerated cathode materials at different Li+ concentrations. Similarly, the diffraction peaks of all regenerated cathode materials align well with the standard, and a Li+ concentration of 0.05 mol/L suffices to meet the theoretical lithium requirement. Increasing the Li+ concentration has no significant impact on the regenerated materials. Clearly, the missing lithium can be successfully replenished even at theoretical lithium dosages.</w:t>
      </w:r>
    </w:p>
    <w:p w14:paraId="5299D17E" w14:textId="0C5E5062" w:rsidR="004935C7" w:rsidRDefault="00156FA0">
      <w:r>
        <w:rPr>
          <w:rFonts w:hint="eastAsia"/>
          <w:noProof/>
        </w:rPr>
        <w:drawing>
          <wp:inline distT="0" distB="0" distL="0" distR="0" wp14:anchorId="193E6418" wp14:editId="4B59712B">
            <wp:extent cx="5274310" cy="2178080"/>
            <wp:effectExtent l="0" t="0" r="254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10"/>
                    <a:stretch>
                      <a:fillRect/>
                    </a:stretch>
                  </pic:blipFill>
                  <pic:spPr>
                    <a:xfrm>
                      <a:off x="0" y="0"/>
                      <a:ext cx="5274310" cy="2178080"/>
                    </a:xfrm>
                    <a:prstGeom prst="rect">
                      <a:avLst/>
                    </a:prstGeom>
                  </pic:spPr>
                </pic:pic>
              </a:graphicData>
            </a:graphic>
          </wp:inline>
        </w:drawing>
      </w:r>
    </w:p>
    <w:p w14:paraId="29DD9159" w14:textId="1D78D4DF" w:rsidR="00156FA0" w:rsidRPr="008B57D3" w:rsidRDefault="008B57D3" w:rsidP="00156FA0">
      <w:pPr>
        <w:jc w:val="center"/>
        <w:rPr>
          <w:rFonts w:cs="Times New Roman"/>
          <w:sz w:val="21"/>
        </w:rPr>
      </w:pPr>
      <w:r w:rsidRPr="008B57D3">
        <w:rPr>
          <w:rFonts w:ascii="Times New Roman" w:eastAsia="等线" w:hAnsi="Times New Roman"/>
          <w:b/>
          <w:bCs/>
          <w:sz w:val="21"/>
        </w:rPr>
        <w:t>Figure</w:t>
      </w:r>
      <w:r w:rsidRPr="008B57D3">
        <w:rPr>
          <w:rFonts w:ascii="Times New Roman" w:hAnsi="Times New Roman" w:cs="Times New Roman"/>
          <w:b/>
          <w:bCs/>
          <w:sz w:val="21"/>
        </w:rPr>
        <w:t xml:space="preserve"> </w:t>
      </w:r>
      <w:r>
        <w:rPr>
          <w:rFonts w:ascii="Times New Roman" w:hAnsi="Times New Roman" w:cs="Times New Roman"/>
          <w:b/>
          <w:bCs/>
          <w:sz w:val="21"/>
        </w:rPr>
        <w:t>S</w:t>
      </w:r>
      <w:r w:rsidR="00156FA0" w:rsidRPr="008B57D3">
        <w:rPr>
          <w:rFonts w:ascii="Times New Roman" w:hAnsi="Times New Roman" w:cs="Times New Roman"/>
          <w:b/>
          <w:bCs/>
          <w:sz w:val="21"/>
        </w:rPr>
        <w:t>3.</w:t>
      </w:r>
      <w:r w:rsidR="00156FA0" w:rsidRPr="008B57D3">
        <w:rPr>
          <w:rFonts w:ascii="Times New Roman" w:hAnsi="Times New Roman" w:cs="Times New Roman"/>
          <w:sz w:val="21"/>
        </w:rPr>
        <w:t xml:space="preserve"> XRD patterns of regenerated cathode materials with different ascorbic acid and lithium hydroxide concentration</w:t>
      </w:r>
    </w:p>
    <w:p w14:paraId="05A49385" w14:textId="15BC09FE" w:rsidR="004935C7" w:rsidRPr="00156FA0" w:rsidRDefault="004935C7"/>
    <w:p w14:paraId="69D82359" w14:textId="23D0F183" w:rsidR="004935C7" w:rsidRDefault="004935C7"/>
    <w:p w14:paraId="21CE02D0" w14:textId="774E9F54" w:rsidR="004935C7" w:rsidRDefault="004935C7"/>
    <w:p w14:paraId="1E435B72" w14:textId="1917D6B2" w:rsidR="004935C7" w:rsidRDefault="004935C7"/>
    <w:p w14:paraId="42941992" w14:textId="46A5C4A4" w:rsidR="004935C7" w:rsidRDefault="004935C7"/>
    <w:p w14:paraId="60758FCF" w14:textId="77777777" w:rsidR="004935C7" w:rsidRDefault="004935C7"/>
    <w:p w14:paraId="07BBFEC9" w14:textId="522A20D0" w:rsidR="004935C7" w:rsidRDefault="004935C7"/>
    <w:p w14:paraId="3539A374" w14:textId="7F407573" w:rsidR="004935C7" w:rsidRDefault="004935C7"/>
    <w:p w14:paraId="66E6B496" w14:textId="3BAAC96A" w:rsidR="004935C7" w:rsidRDefault="004935C7"/>
    <w:p w14:paraId="21FDC911" w14:textId="77777777" w:rsidR="004935C7" w:rsidRPr="004935C7" w:rsidRDefault="004935C7"/>
    <w:p w14:paraId="7D4BD12E" w14:textId="77777777" w:rsidR="0067737C" w:rsidRDefault="0067737C" w:rsidP="0067737C">
      <w:pPr>
        <w:jc w:val="center"/>
      </w:pPr>
      <w:r>
        <w:rPr>
          <w:rFonts w:hint="eastAsia"/>
          <w:noProof/>
        </w:rPr>
        <w:lastRenderedPageBreak/>
        <w:drawing>
          <wp:inline distT="0" distB="0" distL="0" distR="0" wp14:anchorId="5F5D8A1A" wp14:editId="52D37229">
            <wp:extent cx="4002357" cy="3436144"/>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1">
                      <a:extLst>
                        <a:ext uri="{28A0092B-C50C-407E-A947-70E740481C1C}">
                          <a14:useLocalDpi xmlns:a14="http://schemas.microsoft.com/office/drawing/2010/main" val="0"/>
                        </a:ext>
                      </a:extLst>
                    </a:blip>
                    <a:stretch>
                      <a:fillRect/>
                    </a:stretch>
                  </pic:blipFill>
                  <pic:spPr>
                    <a:xfrm>
                      <a:off x="0" y="0"/>
                      <a:ext cx="4023810" cy="3454562"/>
                    </a:xfrm>
                    <a:prstGeom prst="rect">
                      <a:avLst/>
                    </a:prstGeom>
                  </pic:spPr>
                </pic:pic>
              </a:graphicData>
            </a:graphic>
          </wp:inline>
        </w:drawing>
      </w:r>
    </w:p>
    <w:p w14:paraId="3A37F4F6" w14:textId="3F8B1DC4" w:rsidR="00674E56" w:rsidRPr="00156FA0" w:rsidRDefault="008B57D3" w:rsidP="00156FA0">
      <w:pPr>
        <w:jc w:val="center"/>
        <w:rPr>
          <w:rFonts w:ascii="Times New Roman" w:hAnsi="Times New Roman" w:cs="Times New Roman"/>
          <w:sz w:val="21"/>
        </w:rPr>
      </w:pPr>
      <w:r w:rsidRPr="008B57D3">
        <w:rPr>
          <w:rFonts w:ascii="Times New Roman" w:eastAsia="等线" w:hAnsi="Times New Roman"/>
          <w:b/>
          <w:bCs/>
          <w:sz w:val="21"/>
        </w:rPr>
        <w:t>Figure</w:t>
      </w:r>
      <w:r w:rsidRPr="008B57D3">
        <w:rPr>
          <w:rFonts w:ascii="Times New Roman" w:hAnsi="Times New Roman" w:cs="Times New Roman"/>
          <w:b/>
          <w:bCs/>
          <w:sz w:val="21"/>
        </w:rPr>
        <w:t xml:space="preserve"> </w:t>
      </w:r>
      <w:r>
        <w:rPr>
          <w:rFonts w:ascii="Times New Roman" w:hAnsi="Times New Roman" w:cs="Times New Roman"/>
          <w:b/>
          <w:bCs/>
          <w:sz w:val="21"/>
        </w:rPr>
        <w:t>S</w:t>
      </w:r>
      <w:r w:rsidR="00156FA0" w:rsidRPr="008B57D3">
        <w:rPr>
          <w:rFonts w:ascii="Times New Roman" w:hAnsi="Times New Roman" w:cs="Times New Roman"/>
          <w:b/>
          <w:bCs/>
          <w:sz w:val="21"/>
        </w:rPr>
        <w:t>4</w:t>
      </w:r>
      <w:r w:rsidR="0067737C" w:rsidRPr="008B57D3">
        <w:rPr>
          <w:rFonts w:ascii="Times New Roman" w:hAnsi="Times New Roman" w:cs="Times New Roman"/>
          <w:b/>
          <w:bCs/>
          <w:sz w:val="21"/>
        </w:rPr>
        <w:t xml:space="preserve">. </w:t>
      </w:r>
      <w:r w:rsidR="0067737C" w:rsidRPr="008B57D3">
        <w:rPr>
          <w:rFonts w:ascii="Times New Roman" w:hAnsi="Times New Roman" w:cs="Times New Roman"/>
          <w:sz w:val="21"/>
        </w:rPr>
        <w:t>SEM imag</w:t>
      </w:r>
      <w:r w:rsidR="0067737C" w:rsidRPr="00010D19">
        <w:rPr>
          <w:rFonts w:ascii="Times New Roman" w:hAnsi="Times New Roman" w:cs="Times New Roman"/>
          <w:sz w:val="21"/>
        </w:rPr>
        <w:t xml:space="preserve">es of four samples (a) for P-LFP, (b) for D-LFP, (c) for </w:t>
      </w:r>
      <w:r w:rsidR="00143AC0" w:rsidRPr="00010D19">
        <w:rPr>
          <w:rFonts w:ascii="Times New Roman" w:hAnsi="Times New Roman" w:cs="Times New Roman"/>
          <w:sz w:val="21"/>
        </w:rPr>
        <w:t>SR</w:t>
      </w:r>
      <w:r w:rsidR="0067737C" w:rsidRPr="00010D19">
        <w:rPr>
          <w:rFonts w:ascii="Times New Roman" w:hAnsi="Times New Roman" w:cs="Times New Roman"/>
          <w:sz w:val="21"/>
        </w:rPr>
        <w:t>-LFP, (d) for AA-SR-LFP.</w:t>
      </w:r>
    </w:p>
    <w:p w14:paraId="4E1FD81B" w14:textId="092DC77A" w:rsidR="0067737C" w:rsidRDefault="00674E56" w:rsidP="0067737C">
      <w:pPr>
        <w:jc w:val="center"/>
      </w:pPr>
      <w:r>
        <w:rPr>
          <w:noProof/>
        </w:rPr>
        <w:drawing>
          <wp:inline distT="0" distB="0" distL="0" distR="0" wp14:anchorId="3C4A3E8E" wp14:editId="41D7A4CE">
            <wp:extent cx="5274310" cy="1591310"/>
            <wp:effectExtent l="0" t="0" r="2540"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12">
                      <a:extLst>
                        <a:ext uri="{28A0092B-C50C-407E-A947-70E740481C1C}">
                          <a14:useLocalDpi xmlns:a14="http://schemas.microsoft.com/office/drawing/2010/main" val="0"/>
                        </a:ext>
                      </a:extLst>
                    </a:blip>
                    <a:stretch>
                      <a:fillRect/>
                    </a:stretch>
                  </pic:blipFill>
                  <pic:spPr>
                    <a:xfrm>
                      <a:off x="0" y="0"/>
                      <a:ext cx="5274310" cy="1591310"/>
                    </a:xfrm>
                    <a:prstGeom prst="rect">
                      <a:avLst/>
                    </a:prstGeom>
                  </pic:spPr>
                </pic:pic>
              </a:graphicData>
            </a:graphic>
          </wp:inline>
        </w:drawing>
      </w:r>
    </w:p>
    <w:p w14:paraId="10F76E81" w14:textId="5701CF3A" w:rsidR="00832C30" w:rsidRPr="008B57D3" w:rsidRDefault="008B57D3" w:rsidP="00010D19">
      <w:pPr>
        <w:jc w:val="center"/>
        <w:rPr>
          <w:rFonts w:ascii="Times New Roman" w:hAnsi="Times New Roman" w:cs="Times New Roman"/>
          <w:sz w:val="21"/>
        </w:rPr>
      </w:pPr>
      <w:r w:rsidRPr="008B57D3">
        <w:rPr>
          <w:rFonts w:ascii="Times New Roman" w:eastAsia="等线" w:hAnsi="Times New Roman"/>
          <w:b/>
          <w:bCs/>
          <w:sz w:val="21"/>
        </w:rPr>
        <w:t>Figure</w:t>
      </w:r>
      <w:r w:rsidRPr="008B57D3">
        <w:rPr>
          <w:rFonts w:ascii="Times New Roman" w:hAnsi="Times New Roman" w:cs="Times New Roman"/>
          <w:b/>
          <w:bCs/>
          <w:sz w:val="21"/>
        </w:rPr>
        <w:t xml:space="preserve"> </w:t>
      </w:r>
      <w:r>
        <w:rPr>
          <w:rFonts w:ascii="Times New Roman" w:hAnsi="Times New Roman" w:cs="Times New Roman"/>
          <w:b/>
          <w:bCs/>
          <w:sz w:val="21"/>
        </w:rPr>
        <w:t>S</w:t>
      </w:r>
      <w:r w:rsidR="00156FA0" w:rsidRPr="008B57D3">
        <w:rPr>
          <w:rFonts w:ascii="Times New Roman" w:hAnsi="Times New Roman" w:cs="Times New Roman"/>
          <w:b/>
          <w:bCs/>
          <w:sz w:val="21"/>
        </w:rPr>
        <w:t>5</w:t>
      </w:r>
      <w:r w:rsidR="00674E56" w:rsidRPr="008B57D3">
        <w:rPr>
          <w:rFonts w:ascii="Times New Roman" w:hAnsi="Times New Roman" w:cs="Times New Roman"/>
          <w:b/>
          <w:bCs/>
          <w:sz w:val="21"/>
        </w:rPr>
        <w:t xml:space="preserve">. </w:t>
      </w:r>
      <w:r w:rsidR="00674E56" w:rsidRPr="008B57D3">
        <w:rPr>
          <w:rFonts w:ascii="Times New Roman" w:hAnsi="Times New Roman" w:cs="Times New Roman"/>
          <w:sz w:val="21"/>
        </w:rPr>
        <w:t>The first charge discharge curves of the sample at different rates: (a) for P-LFP, (b) for D-LFP, (c) for AA-SE-LFP.</w:t>
      </w:r>
    </w:p>
    <w:sectPr w:rsidR="00832C30" w:rsidRPr="008B57D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4CEF7D" w14:textId="77777777" w:rsidR="002B4195" w:rsidRDefault="002B4195" w:rsidP="00886FF0">
      <w:r>
        <w:separator/>
      </w:r>
    </w:p>
  </w:endnote>
  <w:endnote w:type="continuationSeparator" w:id="0">
    <w:p w14:paraId="2DDBE431" w14:textId="77777777" w:rsidR="002B4195" w:rsidRDefault="002B4195" w:rsidP="00886F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E6EC60" w14:textId="77777777" w:rsidR="002B4195" w:rsidRDefault="002B4195" w:rsidP="00886FF0">
      <w:r>
        <w:separator/>
      </w:r>
    </w:p>
  </w:footnote>
  <w:footnote w:type="continuationSeparator" w:id="0">
    <w:p w14:paraId="5F16A8FA" w14:textId="77777777" w:rsidR="002B4195" w:rsidRDefault="002B4195" w:rsidP="00886FF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4A94"/>
    <w:rsid w:val="00010D19"/>
    <w:rsid w:val="00084A94"/>
    <w:rsid w:val="00143AC0"/>
    <w:rsid w:val="00156FA0"/>
    <w:rsid w:val="002B4195"/>
    <w:rsid w:val="002D791D"/>
    <w:rsid w:val="003174F2"/>
    <w:rsid w:val="0034080E"/>
    <w:rsid w:val="003C3DA8"/>
    <w:rsid w:val="0046359B"/>
    <w:rsid w:val="00492ADF"/>
    <w:rsid w:val="004935C7"/>
    <w:rsid w:val="00546619"/>
    <w:rsid w:val="00571F9D"/>
    <w:rsid w:val="00651C6E"/>
    <w:rsid w:val="00674E56"/>
    <w:rsid w:val="0067737C"/>
    <w:rsid w:val="006B406B"/>
    <w:rsid w:val="00832C30"/>
    <w:rsid w:val="00886FF0"/>
    <w:rsid w:val="008A0299"/>
    <w:rsid w:val="008A4DEE"/>
    <w:rsid w:val="008B57D3"/>
    <w:rsid w:val="0090502E"/>
    <w:rsid w:val="00A8463B"/>
    <w:rsid w:val="00B147F6"/>
    <w:rsid w:val="00C0561B"/>
    <w:rsid w:val="00CC6DBE"/>
    <w:rsid w:val="00E24F88"/>
    <w:rsid w:val="00E3053C"/>
    <w:rsid w:val="00E96CB3"/>
    <w:rsid w:val="00F16824"/>
    <w:rsid w:val="00FF18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2A7E0A"/>
  <w15:chartTrackingRefBased/>
  <w15:docId w15:val="{4A9761F6-AA26-42AA-B08C-61BA27B39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86FF0"/>
    <w:pPr>
      <w:widowControl w:val="0"/>
      <w:jc w:val="both"/>
    </w:pPr>
    <w:rPr>
      <w:rFonts w:ascii="Calibri" w:eastAsia="宋体" w:hAnsi="Calibri" w:cs="Arial"/>
      <w:kern w:val="0"/>
      <w:sz w:val="24"/>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86FF0"/>
    <w:pPr>
      <w:pBdr>
        <w:bottom w:val="single" w:sz="6" w:space="1" w:color="auto"/>
      </w:pBdr>
      <w:tabs>
        <w:tab w:val="center" w:pos="4153"/>
        <w:tab w:val="right" w:pos="8306"/>
      </w:tabs>
      <w:snapToGrid w:val="0"/>
      <w:jc w:val="center"/>
    </w:pPr>
    <w:rPr>
      <w:rFonts w:asciiTheme="minorHAnsi" w:eastAsiaTheme="minorEastAsia" w:hAnsiTheme="minorHAnsi" w:cstheme="minorBidi"/>
      <w:kern w:val="2"/>
      <w:sz w:val="18"/>
      <w:szCs w:val="18"/>
    </w:rPr>
  </w:style>
  <w:style w:type="character" w:customStyle="1" w:styleId="HeaderChar">
    <w:name w:val="Header Char"/>
    <w:basedOn w:val="DefaultParagraphFont"/>
    <w:link w:val="Header"/>
    <w:uiPriority w:val="99"/>
    <w:rsid w:val="00886FF0"/>
    <w:rPr>
      <w:sz w:val="18"/>
      <w:szCs w:val="18"/>
    </w:rPr>
  </w:style>
  <w:style w:type="paragraph" w:styleId="Footer">
    <w:name w:val="footer"/>
    <w:basedOn w:val="Normal"/>
    <w:link w:val="FooterChar"/>
    <w:uiPriority w:val="99"/>
    <w:unhideWhenUsed/>
    <w:rsid w:val="00886FF0"/>
    <w:pPr>
      <w:tabs>
        <w:tab w:val="center" w:pos="4153"/>
        <w:tab w:val="right" w:pos="8306"/>
      </w:tabs>
      <w:snapToGrid w:val="0"/>
      <w:jc w:val="left"/>
    </w:pPr>
    <w:rPr>
      <w:rFonts w:asciiTheme="minorHAnsi" w:eastAsiaTheme="minorEastAsia" w:hAnsiTheme="minorHAnsi" w:cstheme="minorBidi"/>
      <w:kern w:val="2"/>
      <w:sz w:val="18"/>
      <w:szCs w:val="18"/>
    </w:rPr>
  </w:style>
  <w:style w:type="character" w:customStyle="1" w:styleId="FooterChar">
    <w:name w:val="Footer Char"/>
    <w:basedOn w:val="DefaultParagraphFont"/>
    <w:link w:val="Footer"/>
    <w:uiPriority w:val="99"/>
    <w:rsid w:val="00886FF0"/>
    <w:rPr>
      <w:sz w:val="18"/>
      <w:szCs w:val="18"/>
    </w:rPr>
  </w:style>
  <w:style w:type="paragraph" w:customStyle="1" w:styleId="src">
    <w:name w:val="src"/>
    <w:basedOn w:val="Normal"/>
    <w:rsid w:val="00886FF0"/>
    <w:pPr>
      <w:widowControl/>
      <w:spacing w:before="100" w:beforeAutospacing="1" w:after="100" w:afterAutospacing="1"/>
      <w:jc w:val="left"/>
    </w:pPr>
    <w:rPr>
      <w:rFonts w:ascii="宋体" w:hAnsi="宋体" w:cs="宋体"/>
      <w:szCs w:val="24"/>
    </w:rPr>
  </w:style>
  <w:style w:type="table" w:styleId="TableGrid">
    <w:name w:val="Table Grid"/>
    <w:basedOn w:val="TableNormal"/>
    <w:rsid w:val="0054661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010D19"/>
    <w:rPr>
      <w:color w:val="0563C1" w:themeColor="hyperlink"/>
      <w:u w:val="single"/>
    </w:rPr>
  </w:style>
  <w:style w:type="character" w:styleId="UnresolvedMention">
    <w:name w:val="Unresolved Mention"/>
    <w:basedOn w:val="DefaultParagraphFont"/>
    <w:uiPriority w:val="99"/>
    <w:semiHidden/>
    <w:unhideWhenUsed/>
    <w:rsid w:val="00492A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9299493">
      <w:bodyDiv w:val="1"/>
      <w:marLeft w:val="0"/>
      <w:marRight w:val="0"/>
      <w:marTop w:val="0"/>
      <w:marBottom w:val="0"/>
      <w:divBdr>
        <w:top w:val="none" w:sz="0" w:space="0" w:color="auto"/>
        <w:left w:val="none" w:sz="0" w:space="0" w:color="auto"/>
        <w:bottom w:val="none" w:sz="0" w:space="0" w:color="auto"/>
        <w:right w:val="none" w:sz="0" w:space="0" w:color="auto"/>
      </w:divBdr>
    </w:div>
    <w:div w:id="1409421886">
      <w:bodyDiv w:val="1"/>
      <w:marLeft w:val="0"/>
      <w:marRight w:val="0"/>
      <w:marTop w:val="0"/>
      <w:marBottom w:val="0"/>
      <w:divBdr>
        <w:top w:val="none" w:sz="0" w:space="0" w:color="auto"/>
        <w:left w:val="none" w:sz="0" w:space="0" w:color="auto"/>
        <w:bottom w:val="none" w:sz="0" w:space="0" w:color="auto"/>
        <w:right w:val="none" w:sz="0" w:space="0" w:color="auto"/>
      </w:divBdr>
    </w:div>
    <w:div w:id="1791050844">
      <w:bodyDiv w:val="1"/>
      <w:marLeft w:val="0"/>
      <w:marRight w:val="0"/>
      <w:marTop w:val="0"/>
      <w:marBottom w:val="0"/>
      <w:divBdr>
        <w:top w:val="none" w:sz="0" w:space="0" w:color="auto"/>
        <w:left w:val="none" w:sz="0" w:space="0" w:color="auto"/>
        <w:bottom w:val="none" w:sz="0" w:space="0" w:color="auto"/>
        <w:right w:val="none" w:sz="0" w:space="0" w:color="auto"/>
      </w:divBdr>
    </w:div>
    <w:div w:id="18574950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mailto:dongpeng2001@126.com" TargetMode="External"/><Relationship Id="rId12" Type="http://schemas.openxmlformats.org/officeDocument/2006/relationships/image" Target="media/image5.ti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mengqi315117@126.com" TargetMode="External"/><Relationship Id="rId11" Type="http://schemas.openxmlformats.org/officeDocument/2006/relationships/image" Target="media/image4.tif"/><Relationship Id="rId5" Type="http://schemas.openxmlformats.org/officeDocument/2006/relationships/endnotes" Target="endnotes.xml"/><Relationship Id="rId10" Type="http://schemas.openxmlformats.org/officeDocument/2006/relationships/image" Target="media/image3.tiff"/><Relationship Id="rId4" Type="http://schemas.openxmlformats.org/officeDocument/2006/relationships/footnotes" Target="footnotes.xml"/><Relationship Id="rId9" Type="http://schemas.openxmlformats.org/officeDocument/2006/relationships/image" Target="media/image2.tiff"/><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83</TotalTime>
  <Pages>4</Pages>
  <Words>479</Words>
  <Characters>2733</Characters>
  <Application>Microsoft Office Word</Application>
  <DocSecurity>0</DocSecurity>
  <Lines>22</Lines>
  <Paragraphs>6</Paragraphs>
  <ScaleCrop>false</ScaleCrop>
  <Company/>
  <LinksUpToDate>false</LinksUpToDate>
  <CharactersWithSpaces>3206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至尊宝的越光宝盒</dc:creator>
  <cp:keywords/>
  <dc:description/>
  <cp:lastModifiedBy>MDPI</cp:lastModifiedBy>
  <cp:revision>14</cp:revision>
  <dcterms:created xsi:type="dcterms:W3CDTF">2024-05-13T06:50:00Z</dcterms:created>
  <dcterms:modified xsi:type="dcterms:W3CDTF">2024-07-08T03:23:00Z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f4f9f1b23fab2e8b51632155fd46927a1a5da0ac86532c36f64cb53f46705631</vt:lpwstr>
  </property>
</Properties>
</file>