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text" w:horzAnchor="margin" w:tblpXSpec="center" w:tblpY="2444"/>
        <w:tblW w:w="10348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6"/>
        <w:gridCol w:w="1134"/>
        <w:gridCol w:w="1825"/>
        <w:gridCol w:w="1604"/>
        <w:gridCol w:w="1701"/>
        <w:gridCol w:w="1559"/>
        <w:gridCol w:w="1559"/>
      </w:tblGrid>
      <w:tr w:rsidR="00C637E0" w:rsidRPr="0054468D" w:rsidTr="00C637E0">
        <w:trPr>
          <w:trHeight w:val="296"/>
        </w:trPr>
        <w:tc>
          <w:tcPr>
            <w:tcW w:w="21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Group C</w:t>
            </w:r>
          </w:p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(</w:t>
            </w:r>
            <w:r w:rsidRPr="00564CE3">
              <w:rPr>
                <w:rFonts w:ascii="Times New Roman" w:hAnsi="Times New Roman"/>
                <w:i/>
                <w:sz w:val="16"/>
                <w:szCs w:val="16"/>
              </w:rPr>
              <w:t>n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 xml:space="preserve"> =10)</w:t>
            </w:r>
          </w:p>
        </w:tc>
        <w:tc>
          <w:tcPr>
            <w:tcW w:w="16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Group S</w:t>
            </w:r>
          </w:p>
          <w:p w:rsidR="00C637E0" w:rsidRPr="00392D2F" w:rsidRDefault="00C637E0" w:rsidP="001D5A91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(</w:t>
            </w:r>
            <w:r w:rsidR="001D5A91" w:rsidRPr="00564CE3">
              <w:rPr>
                <w:rFonts w:ascii="Times New Roman" w:hAnsi="Times New Roman"/>
                <w:i/>
                <w:sz w:val="16"/>
                <w:szCs w:val="16"/>
              </w:rPr>
              <w:t>n</w:t>
            </w:r>
            <w:r w:rsidR="001D5A91" w:rsidRPr="00392D2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= 10)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Group R</w:t>
            </w:r>
          </w:p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(</w:t>
            </w:r>
            <w:r w:rsidRPr="00564CE3">
              <w:rPr>
                <w:rFonts w:ascii="Times New Roman" w:hAnsi="Times New Roman"/>
                <w:i/>
                <w:sz w:val="16"/>
                <w:szCs w:val="16"/>
              </w:rPr>
              <w:t>n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 xml:space="preserve"> = 10)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Group SR</w:t>
            </w:r>
          </w:p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(</w:t>
            </w:r>
            <w:r w:rsidRPr="00564CE3">
              <w:rPr>
                <w:rFonts w:ascii="Times New Roman" w:hAnsi="Times New Roman"/>
                <w:i/>
                <w:sz w:val="16"/>
                <w:szCs w:val="16"/>
              </w:rPr>
              <w:t>n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 xml:space="preserve"> = 10)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Group SH</w:t>
            </w:r>
          </w:p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(</w:t>
            </w:r>
            <w:r w:rsidRPr="00564CE3">
              <w:rPr>
                <w:rFonts w:ascii="Times New Roman" w:hAnsi="Times New Roman"/>
                <w:i/>
                <w:sz w:val="16"/>
                <w:szCs w:val="16"/>
              </w:rPr>
              <w:t>n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 xml:space="preserve"> = 5)</w:t>
            </w:r>
          </w:p>
        </w:tc>
      </w:tr>
      <w:tr w:rsidR="00C637E0" w:rsidRPr="0054468D" w:rsidTr="00C637E0">
        <w:trPr>
          <w:trHeight w:val="486"/>
        </w:trPr>
        <w:tc>
          <w:tcPr>
            <w:tcW w:w="966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637E0" w:rsidRPr="00890981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90981">
              <w:rPr>
                <w:rFonts w:ascii="Times New Roman" w:hAnsi="Times New Roman"/>
                <w:sz w:val="16"/>
                <w:szCs w:val="16"/>
              </w:rPr>
              <w:t>pH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637E0" w:rsidRPr="00890981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90981">
              <w:rPr>
                <w:rFonts w:ascii="Times New Roman" w:hAnsi="Times New Roman"/>
                <w:sz w:val="16"/>
                <w:szCs w:val="16"/>
              </w:rPr>
              <w:t>Baseline</w:t>
            </w:r>
          </w:p>
        </w:tc>
        <w:tc>
          <w:tcPr>
            <w:tcW w:w="182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7.45 (7.44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7.45)</w:t>
            </w:r>
          </w:p>
        </w:tc>
        <w:tc>
          <w:tcPr>
            <w:tcW w:w="160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7.44 (7.42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7.46)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7.43 (7.41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7.45)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0E1545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7.43 (7.42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7.4</w:t>
            </w:r>
            <w:r w:rsidR="000E1545">
              <w:rPr>
                <w:rFonts w:ascii="Times New Roman" w:hAnsi="Times New Roman"/>
                <w:sz w:val="16"/>
                <w:szCs w:val="16"/>
              </w:rPr>
              <w:t>6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7.42 (7.40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7.47)</w:t>
            </w:r>
          </w:p>
        </w:tc>
      </w:tr>
      <w:tr w:rsidR="00C637E0" w:rsidRPr="0054468D" w:rsidTr="00C637E0">
        <w:trPr>
          <w:trHeight w:val="411"/>
        </w:trPr>
        <w:tc>
          <w:tcPr>
            <w:tcW w:w="966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637E0" w:rsidRPr="00890981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637E0" w:rsidRPr="00890981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90981">
              <w:rPr>
                <w:rFonts w:ascii="Times New Roman" w:hAnsi="Times New Roman"/>
                <w:sz w:val="16"/>
                <w:szCs w:val="16"/>
              </w:rPr>
              <w:t>Ischemia</w:t>
            </w:r>
          </w:p>
        </w:tc>
        <w:tc>
          <w:tcPr>
            <w:tcW w:w="182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7.36 (7.33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7.43)</w:t>
            </w:r>
          </w:p>
        </w:tc>
        <w:tc>
          <w:tcPr>
            <w:tcW w:w="160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7.35 (7.33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7.37)</w:t>
            </w:r>
            <w:r w:rsidR="001D5A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92D2F">
              <w:rPr>
                <w:rFonts w:ascii="Times New Roman" w:hAnsi="Times New Roman"/>
                <w:sz w:val="16"/>
                <w:szCs w:val="16"/>
                <w:vertAlign w:val="superscript"/>
              </w:rPr>
              <w:t>§§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7.37(7.35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7.38)</w:t>
            </w:r>
            <w:r w:rsidR="001D5A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007ED" w:rsidRPr="00392D2F">
              <w:rPr>
                <w:rFonts w:ascii="Times New Roman" w:hAnsi="Times New Roman"/>
                <w:sz w:val="16"/>
                <w:szCs w:val="16"/>
                <w:vertAlign w:val="superscript"/>
              </w:rPr>
              <w:t>§§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0E1545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7.38 (7.3</w:t>
            </w:r>
            <w:r w:rsidR="000E1545">
              <w:rPr>
                <w:rFonts w:ascii="Times New Roman" w:hAnsi="Times New Roman"/>
                <w:sz w:val="16"/>
                <w:szCs w:val="16"/>
              </w:rPr>
              <w:t>6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7.43)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7.43 (7.41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7.44)</w:t>
            </w:r>
          </w:p>
        </w:tc>
      </w:tr>
      <w:tr w:rsidR="00C637E0" w:rsidRPr="0054468D" w:rsidTr="00C637E0">
        <w:trPr>
          <w:trHeight w:val="411"/>
        </w:trPr>
        <w:tc>
          <w:tcPr>
            <w:tcW w:w="966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637E0" w:rsidRPr="00890981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637E0" w:rsidRPr="00890981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90981">
              <w:rPr>
                <w:rFonts w:ascii="Times New Roman" w:hAnsi="Times New Roman"/>
                <w:sz w:val="16"/>
                <w:szCs w:val="16"/>
              </w:rPr>
              <w:t>Reperfusion</w:t>
            </w:r>
          </w:p>
        </w:tc>
        <w:tc>
          <w:tcPr>
            <w:tcW w:w="182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7.34 (7.31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7.38)</w:t>
            </w:r>
            <w:r w:rsidR="001D5A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92D2F">
              <w:rPr>
                <w:rFonts w:ascii="Times New Roman" w:hAnsi="Times New Roman"/>
                <w:sz w:val="16"/>
                <w:szCs w:val="16"/>
                <w:vertAlign w:val="superscript"/>
              </w:rPr>
              <w:t>§</w:t>
            </w:r>
          </w:p>
        </w:tc>
        <w:tc>
          <w:tcPr>
            <w:tcW w:w="160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637E0" w:rsidRPr="00392D2F" w:rsidRDefault="00C637E0" w:rsidP="00C85F71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7.34 (7.</w:t>
            </w:r>
            <w:r w:rsidR="00E75B06">
              <w:rPr>
                <w:rFonts w:ascii="Times New Roman" w:hAnsi="Times New Roman"/>
                <w:sz w:val="16"/>
                <w:szCs w:val="16"/>
              </w:rPr>
              <w:t>30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7.38)</w:t>
            </w:r>
            <w:r w:rsidR="001D5A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92D2F">
              <w:rPr>
                <w:rFonts w:ascii="Times New Roman" w:hAnsi="Times New Roman"/>
                <w:sz w:val="16"/>
                <w:szCs w:val="16"/>
                <w:vertAlign w:val="superscript"/>
              </w:rPr>
              <w:t>§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7.36 (7.31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7.40)</w:t>
            </w:r>
            <w:r w:rsidR="001D5A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92D2F">
              <w:rPr>
                <w:rFonts w:ascii="Times New Roman" w:hAnsi="Times New Roman"/>
                <w:sz w:val="16"/>
                <w:szCs w:val="16"/>
                <w:vertAlign w:val="superscript"/>
              </w:rPr>
              <w:t>§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637E0" w:rsidRPr="00392D2F" w:rsidRDefault="00C637E0" w:rsidP="00AE61FF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7.3</w:t>
            </w:r>
            <w:r w:rsidR="00AE61FF">
              <w:rPr>
                <w:rFonts w:ascii="Times New Roman" w:hAnsi="Times New Roman"/>
                <w:sz w:val="16"/>
                <w:szCs w:val="16"/>
              </w:rPr>
              <w:t>7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 xml:space="preserve"> (7.</w:t>
            </w:r>
            <w:r w:rsidR="00AE61FF">
              <w:rPr>
                <w:rFonts w:ascii="Times New Roman" w:hAnsi="Times New Roman"/>
                <w:sz w:val="16"/>
                <w:szCs w:val="16"/>
              </w:rPr>
              <w:t>32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7.38)</w:t>
            </w:r>
            <w:r w:rsidR="001D5A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92D2F">
              <w:rPr>
                <w:rFonts w:ascii="Times New Roman" w:hAnsi="Times New Roman"/>
                <w:sz w:val="16"/>
                <w:szCs w:val="16"/>
                <w:vertAlign w:val="superscript"/>
              </w:rPr>
              <w:t>§</w:t>
            </w:r>
            <w:r w:rsidR="00BF1818" w:rsidRPr="00392D2F">
              <w:rPr>
                <w:rFonts w:ascii="Times New Roman" w:hAnsi="Times New Roman"/>
                <w:sz w:val="16"/>
                <w:szCs w:val="16"/>
                <w:vertAlign w:val="superscript"/>
              </w:rPr>
              <w:t>§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7.41 (7.40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7.43)</w:t>
            </w:r>
          </w:p>
        </w:tc>
      </w:tr>
      <w:tr w:rsidR="00C637E0" w:rsidRPr="0054468D" w:rsidTr="00C637E0">
        <w:trPr>
          <w:trHeight w:val="391"/>
        </w:trPr>
        <w:tc>
          <w:tcPr>
            <w:tcW w:w="966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637E0" w:rsidRPr="00890981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90981">
              <w:rPr>
                <w:rFonts w:ascii="Times New Roman" w:hAnsi="Times New Roman"/>
                <w:sz w:val="16"/>
                <w:szCs w:val="16"/>
              </w:rPr>
              <w:t>PaCO</w:t>
            </w:r>
            <w:r w:rsidRPr="00890981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  <w:r w:rsidRPr="00890981">
              <w:rPr>
                <w:rFonts w:ascii="Times New Roman" w:hAnsi="Times New Roman"/>
                <w:sz w:val="16"/>
                <w:szCs w:val="16"/>
              </w:rPr>
              <w:t xml:space="preserve"> (mmHg)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637E0" w:rsidRPr="00890981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90981">
              <w:rPr>
                <w:rFonts w:ascii="Times New Roman" w:hAnsi="Times New Roman"/>
                <w:sz w:val="16"/>
                <w:szCs w:val="16"/>
              </w:rPr>
              <w:t>Baseline</w:t>
            </w:r>
          </w:p>
        </w:tc>
        <w:tc>
          <w:tcPr>
            <w:tcW w:w="182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34.7 (32.6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36.6)</w:t>
            </w:r>
          </w:p>
        </w:tc>
        <w:tc>
          <w:tcPr>
            <w:tcW w:w="160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34.4 (32.0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36.2)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35.4 (32.3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38.0)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36.7 (34.9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38.6)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38.2 (32.9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38.5)</w:t>
            </w:r>
          </w:p>
        </w:tc>
      </w:tr>
      <w:tr w:rsidR="00C637E0" w:rsidRPr="0054468D" w:rsidTr="00C637E0">
        <w:trPr>
          <w:trHeight w:val="409"/>
        </w:trPr>
        <w:tc>
          <w:tcPr>
            <w:tcW w:w="966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637E0" w:rsidRPr="00890981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637E0" w:rsidRPr="00890981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90981">
              <w:rPr>
                <w:rFonts w:ascii="Times New Roman" w:hAnsi="Times New Roman"/>
                <w:sz w:val="16"/>
                <w:szCs w:val="16"/>
              </w:rPr>
              <w:t>Ischemia</w:t>
            </w:r>
          </w:p>
        </w:tc>
        <w:tc>
          <w:tcPr>
            <w:tcW w:w="182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35.1 (33.7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38.7)</w:t>
            </w:r>
          </w:p>
        </w:tc>
        <w:tc>
          <w:tcPr>
            <w:tcW w:w="160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36.3 (33.0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38.0)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34.7 (32.5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37.0)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810915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3</w:t>
            </w:r>
            <w:r w:rsidR="00AE61FF">
              <w:rPr>
                <w:rFonts w:ascii="Times New Roman" w:hAnsi="Times New Roman"/>
                <w:sz w:val="16"/>
                <w:szCs w:val="16"/>
              </w:rPr>
              <w:t>5.1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 xml:space="preserve"> (3</w:t>
            </w:r>
            <w:r w:rsidR="00AE61FF">
              <w:rPr>
                <w:rFonts w:ascii="Times New Roman" w:hAnsi="Times New Roman"/>
                <w:sz w:val="16"/>
                <w:szCs w:val="16"/>
              </w:rPr>
              <w:t>0.3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3</w:t>
            </w:r>
            <w:r w:rsidR="00AE61FF">
              <w:rPr>
                <w:rFonts w:ascii="Times New Roman" w:hAnsi="Times New Roman"/>
                <w:sz w:val="16"/>
                <w:szCs w:val="16"/>
              </w:rPr>
              <w:t>8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.9)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37.6 (34.2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40.0)</w:t>
            </w:r>
          </w:p>
        </w:tc>
      </w:tr>
      <w:tr w:rsidR="00C637E0" w:rsidRPr="0054468D" w:rsidTr="00C637E0">
        <w:trPr>
          <w:trHeight w:val="409"/>
        </w:trPr>
        <w:tc>
          <w:tcPr>
            <w:tcW w:w="966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637E0" w:rsidRPr="00890981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637E0" w:rsidRPr="00890981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90981">
              <w:rPr>
                <w:rFonts w:ascii="Times New Roman" w:hAnsi="Times New Roman"/>
                <w:sz w:val="16"/>
                <w:szCs w:val="16"/>
              </w:rPr>
              <w:t>Reperfusion</w:t>
            </w:r>
          </w:p>
        </w:tc>
        <w:tc>
          <w:tcPr>
            <w:tcW w:w="182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37.4 (36.4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41.5)</w:t>
            </w:r>
          </w:p>
        </w:tc>
        <w:tc>
          <w:tcPr>
            <w:tcW w:w="160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36.0 (33.8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40.0)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36.7 (32.5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40.6)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637E0" w:rsidRPr="00392D2F" w:rsidRDefault="00C637E0" w:rsidP="003A7A8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3</w:t>
            </w:r>
            <w:r w:rsidR="00AE61FF">
              <w:rPr>
                <w:rFonts w:ascii="Times New Roman" w:hAnsi="Times New Roman"/>
                <w:sz w:val="16"/>
                <w:szCs w:val="16"/>
              </w:rPr>
              <w:t>7.</w:t>
            </w:r>
            <w:r w:rsidR="003A7A80">
              <w:rPr>
                <w:rFonts w:ascii="Times New Roman" w:hAnsi="Times New Roman"/>
                <w:sz w:val="16"/>
                <w:szCs w:val="16"/>
              </w:rPr>
              <w:t>3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 xml:space="preserve"> (3</w:t>
            </w:r>
            <w:r w:rsidR="00AE61FF">
              <w:rPr>
                <w:rFonts w:ascii="Times New Roman" w:hAnsi="Times New Roman"/>
                <w:sz w:val="16"/>
                <w:szCs w:val="16"/>
              </w:rPr>
              <w:t>5.9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4</w:t>
            </w:r>
            <w:r w:rsidR="003A7A80">
              <w:rPr>
                <w:rFonts w:ascii="Times New Roman" w:hAnsi="Times New Roman"/>
                <w:sz w:val="16"/>
                <w:szCs w:val="16"/>
              </w:rPr>
              <w:t>0.4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37.9 (35.3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43.7)</w:t>
            </w:r>
          </w:p>
        </w:tc>
      </w:tr>
      <w:tr w:rsidR="00C637E0" w:rsidRPr="0054468D" w:rsidTr="00C637E0">
        <w:trPr>
          <w:trHeight w:val="402"/>
        </w:trPr>
        <w:tc>
          <w:tcPr>
            <w:tcW w:w="96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637E0" w:rsidRPr="00890981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90981">
              <w:rPr>
                <w:rFonts w:ascii="Times New Roman" w:hAnsi="Times New Roman"/>
                <w:sz w:val="16"/>
                <w:szCs w:val="16"/>
              </w:rPr>
              <w:t>PaO</w:t>
            </w:r>
            <w:r w:rsidRPr="00890981">
              <w:rPr>
                <w:rFonts w:ascii="Times New Roman" w:hAnsi="Times New Roman"/>
                <w:sz w:val="16"/>
                <w:szCs w:val="16"/>
                <w:vertAlign w:val="subscript"/>
              </w:rPr>
              <w:t xml:space="preserve">2 </w:t>
            </w:r>
            <w:r w:rsidRPr="00890981">
              <w:rPr>
                <w:rFonts w:ascii="Times New Roman" w:hAnsi="Times New Roman"/>
                <w:sz w:val="16"/>
                <w:szCs w:val="16"/>
              </w:rPr>
              <w:t>(mmHg)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637E0" w:rsidRPr="00890981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90981">
              <w:rPr>
                <w:rFonts w:ascii="Times New Roman" w:hAnsi="Times New Roman"/>
                <w:sz w:val="16"/>
                <w:szCs w:val="16"/>
              </w:rPr>
              <w:t>Baseline</w:t>
            </w:r>
          </w:p>
        </w:tc>
        <w:tc>
          <w:tcPr>
            <w:tcW w:w="182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245.1 (231.3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271.5)</w:t>
            </w:r>
          </w:p>
        </w:tc>
        <w:tc>
          <w:tcPr>
            <w:tcW w:w="160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251.9 (234.1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265.8)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246.3 (221.9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260.2)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0E1545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250.2 (</w:t>
            </w:r>
            <w:r w:rsidR="000E1545">
              <w:rPr>
                <w:rFonts w:ascii="Times New Roman" w:hAnsi="Times New Roman"/>
                <w:sz w:val="16"/>
                <w:szCs w:val="16"/>
              </w:rPr>
              <w:t>225.9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26</w:t>
            </w:r>
            <w:r w:rsidR="000E1545">
              <w:rPr>
                <w:rFonts w:ascii="Times New Roman" w:hAnsi="Times New Roman"/>
                <w:sz w:val="16"/>
                <w:szCs w:val="16"/>
              </w:rPr>
              <w:t>6.2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270.3 (253.2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277.6)</w:t>
            </w:r>
          </w:p>
        </w:tc>
      </w:tr>
      <w:tr w:rsidR="00C637E0" w:rsidRPr="0054468D" w:rsidTr="00C637E0">
        <w:trPr>
          <w:trHeight w:val="402"/>
        </w:trPr>
        <w:tc>
          <w:tcPr>
            <w:tcW w:w="96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637E0" w:rsidRPr="00890981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637E0" w:rsidRPr="00890981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90981">
              <w:rPr>
                <w:rFonts w:ascii="Times New Roman" w:hAnsi="Times New Roman"/>
                <w:sz w:val="16"/>
                <w:szCs w:val="16"/>
              </w:rPr>
              <w:t>Ischemia</w:t>
            </w:r>
          </w:p>
        </w:tc>
        <w:tc>
          <w:tcPr>
            <w:tcW w:w="182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247.5 (231.6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–254.5)</w:t>
            </w:r>
          </w:p>
        </w:tc>
        <w:tc>
          <w:tcPr>
            <w:tcW w:w="160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243.5 (237.5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262.5)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241.5 (228.1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245.8)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247.6 (233.5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254.4)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255.3 (241.2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366.9)</w:t>
            </w:r>
          </w:p>
        </w:tc>
      </w:tr>
      <w:tr w:rsidR="00C637E0" w:rsidRPr="0054468D" w:rsidTr="00C637E0">
        <w:trPr>
          <w:trHeight w:val="408"/>
        </w:trPr>
        <w:tc>
          <w:tcPr>
            <w:tcW w:w="96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37E0" w:rsidRPr="00890981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637E0" w:rsidRPr="00890981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90981">
              <w:rPr>
                <w:rFonts w:ascii="Times New Roman" w:hAnsi="Times New Roman"/>
                <w:sz w:val="16"/>
                <w:szCs w:val="16"/>
              </w:rPr>
              <w:t>Reperfusion</w:t>
            </w:r>
          </w:p>
        </w:tc>
        <w:tc>
          <w:tcPr>
            <w:tcW w:w="182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637E0" w:rsidRPr="00392D2F" w:rsidRDefault="00C637E0" w:rsidP="00BF1818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232.0 (220.3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246.1)</w:t>
            </w:r>
          </w:p>
        </w:tc>
        <w:tc>
          <w:tcPr>
            <w:tcW w:w="160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225.4 (191.2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243.0)</w:t>
            </w:r>
            <w:r w:rsidR="001D5A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92D2F">
              <w:rPr>
                <w:rFonts w:ascii="Times New Roman" w:hAnsi="Times New Roman"/>
                <w:sz w:val="16"/>
                <w:szCs w:val="16"/>
                <w:vertAlign w:val="superscript"/>
              </w:rPr>
              <w:t>§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228.1 (203.9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239.9)</w:t>
            </w:r>
            <w:r w:rsidR="001D5A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92D2F">
              <w:rPr>
                <w:rFonts w:ascii="Times New Roman" w:hAnsi="Times New Roman"/>
                <w:sz w:val="16"/>
                <w:szCs w:val="16"/>
                <w:vertAlign w:val="superscript"/>
              </w:rPr>
              <w:t>§</w:t>
            </w:r>
            <w:r w:rsidR="00F007ED" w:rsidRPr="00392D2F">
              <w:rPr>
                <w:rFonts w:ascii="Times New Roman" w:hAnsi="Times New Roman"/>
                <w:sz w:val="16"/>
                <w:szCs w:val="16"/>
                <w:vertAlign w:val="superscript"/>
              </w:rPr>
              <w:t>§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239.3 (189.3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242.4)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251.6 (233.8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258.9)</w:t>
            </w:r>
          </w:p>
        </w:tc>
      </w:tr>
      <w:tr w:rsidR="00C637E0" w:rsidRPr="0054468D" w:rsidTr="00C637E0">
        <w:trPr>
          <w:trHeight w:val="387"/>
        </w:trPr>
        <w:tc>
          <w:tcPr>
            <w:tcW w:w="966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637E0" w:rsidRPr="00890981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90981">
              <w:rPr>
                <w:rFonts w:ascii="Times New Roman" w:hAnsi="Times New Roman"/>
                <w:sz w:val="16"/>
                <w:szCs w:val="16"/>
              </w:rPr>
              <w:t>Hb</w:t>
            </w:r>
          </w:p>
          <w:p w:rsidR="00C637E0" w:rsidRPr="00890981" w:rsidRDefault="00C637E0" w:rsidP="001D5A91">
            <w:pPr>
              <w:widowControl/>
              <w:wordWrap/>
              <w:autoSpaceDE/>
              <w:autoSpaceDN/>
              <w:spacing w:before="0" w:beforeAutospacing="0" w:after="0" w:afterAutospac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90981">
              <w:rPr>
                <w:rFonts w:ascii="Times New Roman" w:hAnsi="Times New Roman"/>
                <w:sz w:val="16"/>
                <w:szCs w:val="16"/>
              </w:rPr>
              <w:t>(g/d</w:t>
            </w:r>
            <w:r w:rsidR="001D5A91">
              <w:rPr>
                <w:rFonts w:ascii="Times New Roman" w:hAnsi="Times New Roman"/>
                <w:sz w:val="16"/>
                <w:szCs w:val="16"/>
              </w:rPr>
              <w:t>L</w:t>
            </w:r>
            <w:r w:rsidRPr="00890981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637E0" w:rsidRPr="00890981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90981">
              <w:rPr>
                <w:rFonts w:ascii="Times New Roman" w:hAnsi="Times New Roman"/>
                <w:sz w:val="16"/>
                <w:szCs w:val="16"/>
              </w:rPr>
              <w:t>Baseline</w:t>
            </w:r>
          </w:p>
        </w:tc>
        <w:tc>
          <w:tcPr>
            <w:tcW w:w="182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1.4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 xml:space="preserve"> (1</w:t>
            </w:r>
            <w:r>
              <w:rPr>
                <w:rFonts w:ascii="Times New Roman" w:hAnsi="Times New Roman"/>
                <w:sz w:val="16"/>
                <w:szCs w:val="16"/>
              </w:rPr>
              <w:t>1.0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11.</w:t>
            </w:r>
            <w:r>
              <w:rPr>
                <w:rFonts w:ascii="Times New Roman" w:hAnsi="Times New Roman"/>
                <w:sz w:val="16"/>
                <w:szCs w:val="16"/>
              </w:rPr>
              <w:t>8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60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810915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1.0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(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10.</w:t>
            </w:r>
            <w:r>
              <w:rPr>
                <w:rFonts w:ascii="Times New Roman" w:hAnsi="Times New Roman"/>
                <w:sz w:val="16"/>
                <w:szCs w:val="16"/>
              </w:rPr>
              <w:t>8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11.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810915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1.0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 xml:space="preserve"> (10.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11.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10.8 (10.3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11.4)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11.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/>
                <w:sz w:val="16"/>
                <w:szCs w:val="16"/>
              </w:rPr>
              <w:t>10.9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11.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  <w:tr w:rsidR="00C637E0" w:rsidRPr="0054468D" w:rsidTr="00C637E0">
        <w:trPr>
          <w:trHeight w:val="387"/>
        </w:trPr>
        <w:tc>
          <w:tcPr>
            <w:tcW w:w="966" w:type="dxa"/>
            <w:vMerge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637E0" w:rsidRPr="00890981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637E0" w:rsidRPr="00890981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90981">
              <w:rPr>
                <w:rFonts w:ascii="Times New Roman" w:hAnsi="Times New Roman"/>
                <w:sz w:val="16"/>
                <w:szCs w:val="16"/>
              </w:rPr>
              <w:t>Ischemia</w:t>
            </w:r>
          </w:p>
        </w:tc>
        <w:tc>
          <w:tcPr>
            <w:tcW w:w="182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10.4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/>
                <w:sz w:val="16"/>
                <w:szCs w:val="16"/>
              </w:rPr>
              <w:t>10.0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1.1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)</w:t>
            </w:r>
            <w:r w:rsidR="001D5A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BF1818" w:rsidRPr="00392D2F">
              <w:rPr>
                <w:rFonts w:ascii="Times New Roman" w:hAnsi="Times New Roman"/>
                <w:sz w:val="16"/>
                <w:szCs w:val="16"/>
                <w:vertAlign w:val="superscript"/>
              </w:rPr>
              <w:t>§</w:t>
            </w:r>
          </w:p>
        </w:tc>
        <w:tc>
          <w:tcPr>
            <w:tcW w:w="160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10.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/>
                <w:sz w:val="16"/>
                <w:szCs w:val="16"/>
              </w:rPr>
              <w:t>10.0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10.</w:t>
            </w:r>
            <w:r>
              <w:rPr>
                <w:rFonts w:ascii="Times New Roman" w:hAnsi="Times New Roman"/>
                <w:sz w:val="16"/>
                <w:szCs w:val="16"/>
              </w:rPr>
              <w:t>9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)</w:t>
            </w:r>
            <w:r w:rsidR="001D5A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2F1648" w:rsidRPr="00392D2F">
              <w:rPr>
                <w:rFonts w:ascii="Times New Roman" w:hAnsi="Times New Roman"/>
                <w:sz w:val="16"/>
                <w:szCs w:val="16"/>
                <w:vertAlign w:val="superscript"/>
              </w:rPr>
              <w:t>§§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.6 (</w:t>
            </w:r>
            <w:r>
              <w:rPr>
                <w:rFonts w:ascii="Times New Roman" w:hAnsi="Times New Roman"/>
                <w:sz w:val="16"/>
                <w:szCs w:val="16"/>
              </w:rPr>
              <w:t>10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.2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>
              <w:rPr>
                <w:rFonts w:ascii="Times New Roman" w:hAnsi="Times New Roman"/>
                <w:sz w:val="16"/>
                <w:szCs w:val="16"/>
              </w:rPr>
              <w:t>10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.9)</w:t>
            </w:r>
            <w:r w:rsidR="001D5A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007ED" w:rsidRPr="00392D2F">
              <w:rPr>
                <w:rFonts w:ascii="Times New Roman" w:hAnsi="Times New Roman"/>
                <w:sz w:val="16"/>
                <w:szCs w:val="16"/>
                <w:vertAlign w:val="superscript"/>
              </w:rPr>
              <w:t>§§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AE61FF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</w:t>
            </w:r>
            <w:r w:rsidR="00AE61FF">
              <w:rPr>
                <w:rFonts w:ascii="Times New Roman" w:hAnsi="Times New Roman"/>
                <w:sz w:val="16"/>
                <w:szCs w:val="16"/>
              </w:rPr>
              <w:t>6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/>
                <w:sz w:val="16"/>
                <w:szCs w:val="16"/>
              </w:rPr>
              <w:t>10.1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10.</w:t>
            </w:r>
            <w:r w:rsidR="00AE61FF">
              <w:rPr>
                <w:rFonts w:ascii="Times New Roman" w:hAnsi="Times New Roman"/>
                <w:sz w:val="16"/>
                <w:szCs w:val="16"/>
              </w:rPr>
              <w:t>8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)</w:t>
            </w:r>
            <w:r w:rsidR="001D5A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BF1818" w:rsidRPr="00392D2F">
              <w:rPr>
                <w:rFonts w:ascii="Times New Roman" w:hAnsi="Times New Roman"/>
                <w:sz w:val="16"/>
                <w:szCs w:val="16"/>
                <w:vertAlign w:val="superscript"/>
              </w:rPr>
              <w:t>§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11.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 xml:space="preserve"> (10.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11.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  <w:tr w:rsidR="00C637E0" w:rsidRPr="0054468D" w:rsidTr="00C637E0">
        <w:trPr>
          <w:trHeight w:val="419"/>
        </w:trPr>
        <w:tc>
          <w:tcPr>
            <w:tcW w:w="966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637E0" w:rsidRPr="00890981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637E0" w:rsidRPr="00890981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90981">
              <w:rPr>
                <w:rFonts w:ascii="Times New Roman" w:hAnsi="Times New Roman"/>
                <w:sz w:val="16"/>
                <w:szCs w:val="16"/>
              </w:rPr>
              <w:t>Reperfusion</w:t>
            </w:r>
          </w:p>
        </w:tc>
        <w:tc>
          <w:tcPr>
            <w:tcW w:w="182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10.6 (9.9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11.6)</w:t>
            </w:r>
            <w:r w:rsidR="001D5A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810915" w:rsidRPr="00392D2F">
              <w:rPr>
                <w:rFonts w:ascii="Times New Roman" w:hAnsi="Times New Roman"/>
                <w:sz w:val="16"/>
                <w:szCs w:val="16"/>
                <w:vertAlign w:val="superscript"/>
              </w:rPr>
              <w:t>§</w:t>
            </w:r>
          </w:p>
        </w:tc>
        <w:tc>
          <w:tcPr>
            <w:tcW w:w="160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10.</w:t>
            </w:r>
            <w:r>
              <w:rPr>
                <w:rFonts w:ascii="Times New Roman" w:hAnsi="Times New Roman"/>
                <w:sz w:val="16"/>
                <w:szCs w:val="16"/>
              </w:rPr>
              <w:t>8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 xml:space="preserve"> (9.</w:t>
            </w:r>
            <w:r>
              <w:rPr>
                <w:rFonts w:ascii="Times New Roman" w:hAnsi="Times New Roman"/>
                <w:sz w:val="16"/>
                <w:szCs w:val="16"/>
              </w:rPr>
              <w:t>8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1.1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)</w:t>
            </w:r>
            <w:r w:rsidR="001D5A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2F1648" w:rsidRPr="00392D2F">
              <w:rPr>
                <w:rFonts w:ascii="Times New Roman" w:hAnsi="Times New Roman"/>
                <w:sz w:val="16"/>
                <w:szCs w:val="16"/>
                <w:vertAlign w:val="superscript"/>
              </w:rPr>
              <w:t>§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10.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/>
                <w:sz w:val="16"/>
                <w:szCs w:val="16"/>
              </w:rPr>
              <w:t>10.1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1.0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)</w:t>
            </w:r>
            <w:r w:rsidR="001D5A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007ED" w:rsidRPr="00392D2F">
              <w:rPr>
                <w:rFonts w:ascii="Times New Roman" w:hAnsi="Times New Roman"/>
                <w:sz w:val="16"/>
                <w:szCs w:val="16"/>
                <w:vertAlign w:val="superscript"/>
              </w:rPr>
              <w:t>§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637E0" w:rsidRPr="00392D2F" w:rsidRDefault="00C637E0" w:rsidP="00AE61FF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</w:t>
            </w:r>
            <w:r w:rsidR="00AE61FF">
              <w:rPr>
                <w:rFonts w:ascii="Times New Roman" w:hAnsi="Times New Roman"/>
                <w:sz w:val="16"/>
                <w:szCs w:val="16"/>
              </w:rPr>
              <w:t>7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/>
                <w:sz w:val="16"/>
                <w:szCs w:val="16"/>
              </w:rPr>
              <w:t>10.</w:t>
            </w:r>
            <w:r w:rsidR="00AE61FF">
              <w:rPr>
                <w:rFonts w:ascii="Times New Roman" w:hAnsi="Times New Roman"/>
                <w:sz w:val="16"/>
                <w:szCs w:val="16"/>
              </w:rPr>
              <w:t>2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1</w:t>
            </w:r>
            <w:r w:rsidR="00AE61FF">
              <w:rPr>
                <w:rFonts w:ascii="Times New Roman" w:hAnsi="Times New Roman"/>
                <w:sz w:val="16"/>
                <w:szCs w:val="16"/>
              </w:rPr>
              <w:t>1.0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)</w:t>
            </w:r>
            <w:r w:rsidR="001D5A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BF1818" w:rsidRPr="00392D2F">
              <w:rPr>
                <w:rFonts w:ascii="Times New Roman" w:hAnsi="Times New Roman"/>
                <w:sz w:val="16"/>
                <w:szCs w:val="16"/>
                <w:vertAlign w:val="superscript"/>
              </w:rPr>
              <w:t>§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11.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 xml:space="preserve"> (1</w:t>
            </w:r>
            <w:r>
              <w:rPr>
                <w:rFonts w:ascii="Times New Roman" w:hAnsi="Times New Roman"/>
                <w:sz w:val="16"/>
                <w:szCs w:val="16"/>
              </w:rPr>
              <w:t>0.8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11.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  <w:tr w:rsidR="00C637E0" w:rsidRPr="0054468D" w:rsidTr="00C637E0">
        <w:trPr>
          <w:trHeight w:val="384"/>
        </w:trPr>
        <w:tc>
          <w:tcPr>
            <w:tcW w:w="966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637E0" w:rsidRPr="00890981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90981">
              <w:rPr>
                <w:rFonts w:ascii="Times New Roman" w:hAnsi="Times New Roman"/>
                <w:sz w:val="16"/>
                <w:szCs w:val="16"/>
              </w:rPr>
              <w:t xml:space="preserve">Blood glucose </w:t>
            </w:r>
          </w:p>
          <w:p w:rsidR="00C637E0" w:rsidRPr="00890981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90981">
              <w:rPr>
                <w:rFonts w:ascii="Times New Roman" w:hAnsi="Times New Roman"/>
                <w:sz w:val="16"/>
                <w:szCs w:val="16"/>
              </w:rPr>
              <w:t>(mg/d</w:t>
            </w:r>
            <w:r w:rsidR="00564CE3" w:rsidRPr="00890981">
              <w:rPr>
                <w:rFonts w:ascii="Times New Roman" w:hAnsi="Times New Roman"/>
                <w:sz w:val="16"/>
                <w:szCs w:val="16"/>
              </w:rPr>
              <w:t>L</w:t>
            </w:r>
            <w:r w:rsidRPr="00890981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637E0" w:rsidRPr="00890981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90981">
              <w:rPr>
                <w:rFonts w:ascii="Times New Roman" w:hAnsi="Times New Roman"/>
                <w:sz w:val="16"/>
                <w:szCs w:val="16"/>
              </w:rPr>
              <w:t>Baseline</w:t>
            </w:r>
          </w:p>
        </w:tc>
        <w:tc>
          <w:tcPr>
            <w:tcW w:w="182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119.0 (111.3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150.8)</w:t>
            </w:r>
          </w:p>
        </w:tc>
        <w:tc>
          <w:tcPr>
            <w:tcW w:w="160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138.0 (99.5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163.0)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130.5 (92.8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157.3)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133.0 (102.0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162.0)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132.0 (106.0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169.5)</w:t>
            </w:r>
          </w:p>
        </w:tc>
      </w:tr>
      <w:tr w:rsidR="00C637E0" w:rsidRPr="0054468D" w:rsidTr="00C637E0">
        <w:trPr>
          <w:trHeight w:val="384"/>
        </w:trPr>
        <w:tc>
          <w:tcPr>
            <w:tcW w:w="96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C637E0" w:rsidRPr="00890981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637E0" w:rsidRPr="00890981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90981">
              <w:rPr>
                <w:rFonts w:ascii="Times New Roman" w:hAnsi="Times New Roman"/>
                <w:sz w:val="16"/>
                <w:szCs w:val="16"/>
              </w:rPr>
              <w:t>Ischemia</w:t>
            </w:r>
          </w:p>
        </w:tc>
        <w:tc>
          <w:tcPr>
            <w:tcW w:w="182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122.5 (107.0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171.8)</w:t>
            </w:r>
          </w:p>
        </w:tc>
        <w:tc>
          <w:tcPr>
            <w:tcW w:w="160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149.0 (118.0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164.0)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124.0 (102.8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148.3)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AE61FF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112.0 (</w:t>
            </w:r>
            <w:r w:rsidR="00AE61FF">
              <w:rPr>
                <w:rFonts w:ascii="Times New Roman" w:hAnsi="Times New Roman"/>
                <w:sz w:val="16"/>
                <w:szCs w:val="16"/>
              </w:rPr>
              <w:t>96.8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122.0)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121.0 (103.5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150.0)</w:t>
            </w:r>
          </w:p>
        </w:tc>
      </w:tr>
      <w:tr w:rsidR="00C637E0" w:rsidRPr="0054468D" w:rsidTr="00C637E0">
        <w:trPr>
          <w:trHeight w:val="418"/>
        </w:trPr>
        <w:tc>
          <w:tcPr>
            <w:tcW w:w="966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637E0" w:rsidRPr="00890981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637E0" w:rsidRPr="00890981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90981">
              <w:rPr>
                <w:rFonts w:ascii="Times New Roman" w:hAnsi="Times New Roman"/>
                <w:sz w:val="16"/>
                <w:szCs w:val="16"/>
              </w:rPr>
              <w:t>Reperfusion</w:t>
            </w:r>
          </w:p>
        </w:tc>
        <w:tc>
          <w:tcPr>
            <w:tcW w:w="182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125.0 (115.0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152.8)</w:t>
            </w:r>
          </w:p>
        </w:tc>
        <w:tc>
          <w:tcPr>
            <w:tcW w:w="160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637E0" w:rsidRPr="00392D2F" w:rsidRDefault="00C637E0" w:rsidP="00810915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153.0 (128.5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176.0)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135.5 (117.3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208.0)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136.0 (111.0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169.0)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141.0 (104.5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180.0)</w:t>
            </w:r>
          </w:p>
        </w:tc>
      </w:tr>
      <w:tr w:rsidR="00C637E0" w:rsidRPr="0054468D" w:rsidTr="00C637E0">
        <w:trPr>
          <w:trHeight w:val="418"/>
        </w:trPr>
        <w:tc>
          <w:tcPr>
            <w:tcW w:w="96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637E0" w:rsidRPr="00890981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90981">
              <w:rPr>
                <w:rFonts w:ascii="Times New Roman" w:hAnsi="Times New Roman"/>
                <w:sz w:val="16"/>
                <w:szCs w:val="16"/>
              </w:rPr>
              <w:t>MAP (mmHg)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637E0" w:rsidRPr="00890981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90981">
              <w:rPr>
                <w:rFonts w:ascii="Times New Roman" w:hAnsi="Times New Roman"/>
                <w:sz w:val="16"/>
                <w:szCs w:val="16"/>
              </w:rPr>
              <w:t>Baseline</w:t>
            </w:r>
          </w:p>
        </w:tc>
        <w:tc>
          <w:tcPr>
            <w:tcW w:w="182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81.0 (73.8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87.0)</w:t>
            </w:r>
          </w:p>
        </w:tc>
        <w:tc>
          <w:tcPr>
            <w:tcW w:w="160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80.5 (76.3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87.8)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82.5 (77.0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84.3)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76.0 (73.0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81.0)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80.0 (75.0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80.5)</w:t>
            </w:r>
          </w:p>
        </w:tc>
      </w:tr>
      <w:tr w:rsidR="00C637E0" w:rsidRPr="0054468D" w:rsidTr="00C637E0">
        <w:trPr>
          <w:trHeight w:val="418"/>
        </w:trPr>
        <w:tc>
          <w:tcPr>
            <w:tcW w:w="966" w:type="dxa"/>
            <w:vMerge/>
            <w:shd w:val="clear" w:color="auto" w:fill="auto"/>
            <w:vAlign w:val="center"/>
          </w:tcPr>
          <w:p w:rsidR="00C637E0" w:rsidRPr="00890981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637E0" w:rsidRPr="00890981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90981">
              <w:rPr>
                <w:rFonts w:ascii="Times New Roman" w:hAnsi="Times New Roman"/>
                <w:sz w:val="16"/>
                <w:szCs w:val="16"/>
              </w:rPr>
              <w:t>Ischemia</w:t>
            </w:r>
          </w:p>
        </w:tc>
        <w:tc>
          <w:tcPr>
            <w:tcW w:w="182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28.5 (27.8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29.3)</w:t>
            </w:r>
            <w:r w:rsidR="001D5A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92D2F">
              <w:rPr>
                <w:rFonts w:ascii="Times New Roman" w:hAnsi="Times New Roman"/>
                <w:sz w:val="16"/>
                <w:szCs w:val="16"/>
                <w:vertAlign w:val="superscript"/>
              </w:rPr>
              <w:t>§§</w:t>
            </w:r>
          </w:p>
        </w:tc>
        <w:tc>
          <w:tcPr>
            <w:tcW w:w="160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28.0 (27.0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29.0)</w:t>
            </w:r>
            <w:r w:rsidR="001D5A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92D2F">
              <w:rPr>
                <w:rFonts w:ascii="Times New Roman" w:hAnsi="Times New Roman"/>
                <w:sz w:val="16"/>
                <w:szCs w:val="16"/>
                <w:vertAlign w:val="superscript"/>
              </w:rPr>
              <w:t>§§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28.5 (26.0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29.0)</w:t>
            </w:r>
            <w:r w:rsidR="001D5A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92D2F">
              <w:rPr>
                <w:rFonts w:ascii="Times New Roman" w:hAnsi="Times New Roman"/>
                <w:sz w:val="16"/>
                <w:szCs w:val="16"/>
                <w:vertAlign w:val="superscript"/>
              </w:rPr>
              <w:t>§§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29.0 (27.0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29.0)</w:t>
            </w:r>
            <w:r w:rsidR="001D5A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92D2F">
              <w:rPr>
                <w:rFonts w:ascii="Times New Roman" w:hAnsi="Times New Roman"/>
                <w:sz w:val="16"/>
                <w:szCs w:val="16"/>
                <w:vertAlign w:val="superscript"/>
              </w:rPr>
              <w:t>§§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74.0 (72.0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80.5)</w:t>
            </w:r>
          </w:p>
        </w:tc>
      </w:tr>
      <w:tr w:rsidR="00C637E0" w:rsidRPr="0054468D" w:rsidTr="00C637E0">
        <w:trPr>
          <w:trHeight w:val="418"/>
        </w:trPr>
        <w:tc>
          <w:tcPr>
            <w:tcW w:w="96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37E0" w:rsidRPr="00890981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637E0" w:rsidRPr="00890981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90981">
              <w:rPr>
                <w:rFonts w:ascii="Times New Roman" w:hAnsi="Times New Roman"/>
                <w:sz w:val="16"/>
                <w:szCs w:val="16"/>
              </w:rPr>
              <w:t>Reperfusion</w:t>
            </w:r>
          </w:p>
        </w:tc>
        <w:tc>
          <w:tcPr>
            <w:tcW w:w="182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105.0 (93.8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115.0)</w:t>
            </w:r>
            <w:r w:rsidR="001D5A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92D2F">
              <w:rPr>
                <w:rFonts w:ascii="Times New Roman" w:hAnsi="Times New Roman"/>
                <w:sz w:val="16"/>
                <w:szCs w:val="16"/>
                <w:vertAlign w:val="superscript"/>
              </w:rPr>
              <w:t>**</w:t>
            </w:r>
            <w:r w:rsidRPr="001D5A91">
              <w:rPr>
                <w:rFonts w:ascii="Palatino Linotype" w:hAnsi="Palatino Linotype"/>
                <w:sz w:val="16"/>
                <w:szCs w:val="16"/>
                <w:vertAlign w:val="superscript"/>
              </w:rPr>
              <w:t>,</w:t>
            </w:r>
            <w:r w:rsidRPr="00392D2F">
              <w:rPr>
                <w:rFonts w:ascii="Times New Roman" w:hAnsi="Times New Roman"/>
                <w:sz w:val="16"/>
                <w:szCs w:val="16"/>
                <w:vertAlign w:val="superscript"/>
              </w:rPr>
              <w:t xml:space="preserve"> ‡‡</w:t>
            </w:r>
            <w:r w:rsidRPr="001D5A91">
              <w:rPr>
                <w:rFonts w:ascii="Palatino Linotype" w:hAnsi="Palatino Linotype"/>
                <w:sz w:val="16"/>
                <w:szCs w:val="16"/>
                <w:vertAlign w:val="superscript"/>
              </w:rPr>
              <w:t xml:space="preserve">, </w:t>
            </w:r>
            <w:r w:rsidRPr="00392D2F">
              <w:rPr>
                <w:rFonts w:ascii="Times New Roman" w:hAnsi="Times New Roman"/>
                <w:sz w:val="16"/>
                <w:szCs w:val="16"/>
                <w:vertAlign w:val="superscript"/>
              </w:rPr>
              <w:t>§§</w:t>
            </w:r>
          </w:p>
        </w:tc>
        <w:tc>
          <w:tcPr>
            <w:tcW w:w="160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62.5 (59.8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64.3)</w:t>
            </w:r>
            <w:r w:rsidR="001D5A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92D2F">
              <w:rPr>
                <w:rFonts w:ascii="Times New Roman" w:hAnsi="Times New Roman"/>
                <w:sz w:val="16"/>
                <w:szCs w:val="16"/>
                <w:vertAlign w:val="superscript"/>
              </w:rPr>
              <w:t>††</w:t>
            </w:r>
            <w:r w:rsidRPr="001D5A91">
              <w:rPr>
                <w:rFonts w:ascii="Palatino Linotype" w:hAnsi="Palatino Linotype"/>
                <w:sz w:val="16"/>
                <w:szCs w:val="16"/>
                <w:vertAlign w:val="superscript"/>
              </w:rPr>
              <w:t>,</w:t>
            </w:r>
            <w:r w:rsidRPr="00392D2F">
              <w:rPr>
                <w:rFonts w:ascii="Times New Roman" w:hAnsi="Times New Roman"/>
                <w:sz w:val="16"/>
                <w:szCs w:val="16"/>
                <w:vertAlign w:val="superscript"/>
              </w:rPr>
              <w:t>§§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109.5 (97.8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120.3)</w:t>
            </w:r>
            <w:r w:rsidR="001D5A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92D2F">
              <w:rPr>
                <w:rFonts w:ascii="Times New Roman" w:hAnsi="Times New Roman"/>
                <w:sz w:val="16"/>
                <w:szCs w:val="16"/>
                <w:vertAlign w:val="superscript"/>
              </w:rPr>
              <w:t>‡‡</w:t>
            </w:r>
            <w:r w:rsidRPr="001D5A91">
              <w:rPr>
                <w:rFonts w:ascii="Palatino Linotype" w:hAnsi="Palatino Linotype"/>
                <w:sz w:val="16"/>
                <w:szCs w:val="16"/>
                <w:vertAlign w:val="superscript"/>
              </w:rPr>
              <w:t>,</w:t>
            </w:r>
            <w:r w:rsidRPr="00392D2F">
              <w:rPr>
                <w:rFonts w:ascii="Times New Roman" w:hAnsi="Times New Roman"/>
                <w:sz w:val="16"/>
                <w:szCs w:val="16"/>
                <w:vertAlign w:val="superscript"/>
              </w:rPr>
              <w:t xml:space="preserve"> §§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62.0 (60.0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64.0)</w:t>
            </w:r>
            <w:r w:rsidR="001D5A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92D2F">
              <w:rPr>
                <w:rFonts w:ascii="Times New Roman" w:hAnsi="Times New Roman"/>
                <w:sz w:val="16"/>
                <w:szCs w:val="16"/>
                <w:vertAlign w:val="superscript"/>
              </w:rPr>
              <w:t>§§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74.0 (71.5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80.5)</w:t>
            </w:r>
          </w:p>
        </w:tc>
      </w:tr>
      <w:tr w:rsidR="00C637E0" w:rsidRPr="0054468D" w:rsidTr="00C637E0">
        <w:trPr>
          <w:trHeight w:val="418"/>
        </w:trPr>
        <w:tc>
          <w:tcPr>
            <w:tcW w:w="96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637E0" w:rsidRPr="00890981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90981">
              <w:rPr>
                <w:rFonts w:ascii="Times New Roman" w:hAnsi="Times New Roman"/>
                <w:sz w:val="16"/>
                <w:szCs w:val="16"/>
              </w:rPr>
              <w:t>Laser Doppler (PU)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637E0" w:rsidRPr="00890981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90981">
              <w:rPr>
                <w:rFonts w:ascii="Times New Roman" w:hAnsi="Times New Roman"/>
                <w:sz w:val="16"/>
                <w:szCs w:val="16"/>
              </w:rPr>
              <w:t>Baseline</w:t>
            </w:r>
          </w:p>
        </w:tc>
        <w:tc>
          <w:tcPr>
            <w:tcW w:w="182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88.8 (75.7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138.7)</w:t>
            </w:r>
          </w:p>
        </w:tc>
        <w:tc>
          <w:tcPr>
            <w:tcW w:w="160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85.9 (78.8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93.5)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105.6 (84.1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117.2)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87.1 (78.9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111.8)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94.2 (61.1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96.7)</w:t>
            </w:r>
          </w:p>
        </w:tc>
      </w:tr>
      <w:tr w:rsidR="00C637E0" w:rsidRPr="0054468D" w:rsidTr="00C637E0">
        <w:trPr>
          <w:trHeight w:val="418"/>
        </w:trPr>
        <w:tc>
          <w:tcPr>
            <w:tcW w:w="966" w:type="dxa"/>
            <w:vMerge/>
            <w:shd w:val="clear" w:color="auto" w:fill="auto"/>
            <w:vAlign w:val="center"/>
          </w:tcPr>
          <w:p w:rsidR="00C637E0" w:rsidRPr="00890981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637E0" w:rsidRPr="00890981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90981">
              <w:rPr>
                <w:rFonts w:ascii="Times New Roman" w:hAnsi="Times New Roman"/>
                <w:sz w:val="16"/>
                <w:szCs w:val="16"/>
              </w:rPr>
              <w:t>Ischemia</w:t>
            </w:r>
          </w:p>
        </w:tc>
        <w:tc>
          <w:tcPr>
            <w:tcW w:w="182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18.3 (11.3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29.3)</w:t>
            </w:r>
            <w:r w:rsidR="001D5A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92D2F">
              <w:rPr>
                <w:rFonts w:ascii="Times New Roman" w:hAnsi="Times New Roman"/>
                <w:sz w:val="16"/>
                <w:szCs w:val="16"/>
                <w:vertAlign w:val="superscript"/>
              </w:rPr>
              <w:t>§§</w:t>
            </w:r>
          </w:p>
        </w:tc>
        <w:tc>
          <w:tcPr>
            <w:tcW w:w="160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16.7 (10.6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28.1)</w:t>
            </w:r>
            <w:r w:rsidR="001D5A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92D2F">
              <w:rPr>
                <w:rFonts w:ascii="Times New Roman" w:hAnsi="Times New Roman"/>
                <w:sz w:val="16"/>
                <w:szCs w:val="16"/>
                <w:vertAlign w:val="superscript"/>
              </w:rPr>
              <w:t>§§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25.3 (19.8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41.2)</w:t>
            </w:r>
            <w:r w:rsidR="001D5A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92D2F">
              <w:rPr>
                <w:rFonts w:ascii="Times New Roman" w:hAnsi="Times New Roman"/>
                <w:sz w:val="16"/>
                <w:szCs w:val="16"/>
                <w:vertAlign w:val="superscript"/>
              </w:rPr>
              <w:t>§§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19.2 (17.2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26.4)</w:t>
            </w:r>
            <w:r w:rsidR="001D5A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bookmarkStart w:id="0" w:name="_GoBack"/>
            <w:bookmarkEnd w:id="0"/>
            <w:r w:rsidRPr="00392D2F">
              <w:rPr>
                <w:rFonts w:ascii="Times New Roman" w:hAnsi="Times New Roman"/>
                <w:sz w:val="16"/>
                <w:szCs w:val="16"/>
                <w:vertAlign w:val="superscript"/>
              </w:rPr>
              <w:t>§§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83.0 (66.8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106.4)</w:t>
            </w:r>
          </w:p>
        </w:tc>
      </w:tr>
      <w:tr w:rsidR="00C637E0" w:rsidRPr="0054468D" w:rsidTr="00C637E0">
        <w:trPr>
          <w:trHeight w:val="418"/>
        </w:trPr>
        <w:tc>
          <w:tcPr>
            <w:tcW w:w="966" w:type="dxa"/>
            <w:vMerge/>
            <w:shd w:val="clear" w:color="auto" w:fill="auto"/>
            <w:vAlign w:val="center"/>
          </w:tcPr>
          <w:p w:rsidR="00C637E0" w:rsidRPr="00890981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637E0" w:rsidRPr="00890981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90981">
              <w:rPr>
                <w:rFonts w:ascii="Times New Roman" w:hAnsi="Times New Roman"/>
                <w:sz w:val="16"/>
                <w:szCs w:val="16"/>
              </w:rPr>
              <w:t>Reperfusion</w:t>
            </w:r>
          </w:p>
        </w:tc>
        <w:tc>
          <w:tcPr>
            <w:tcW w:w="1825" w:type="dxa"/>
            <w:tcBorders>
              <w:top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156.2 (130.3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190.2)</w:t>
            </w:r>
            <w:r w:rsidR="001D5A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92D2F">
              <w:rPr>
                <w:rFonts w:ascii="Times New Roman" w:hAnsi="Times New Roman"/>
                <w:sz w:val="16"/>
                <w:szCs w:val="16"/>
                <w:vertAlign w:val="superscript"/>
              </w:rPr>
              <w:t>**,‡, §§</w:t>
            </w:r>
          </w:p>
        </w:tc>
        <w:tc>
          <w:tcPr>
            <w:tcW w:w="1604" w:type="dxa"/>
            <w:tcBorders>
              <w:top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102.5 (90.9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128.0)</w:t>
            </w:r>
            <w:r w:rsidR="001D5A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1D5A91">
              <w:rPr>
                <w:rFonts w:ascii="Times New Roman" w:hAnsi="Times New Roman"/>
                <w:sz w:val="16"/>
                <w:szCs w:val="16"/>
                <w:vertAlign w:val="superscript"/>
              </w:rPr>
              <w:t>†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154.6 (113.5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203.2)</w:t>
            </w:r>
            <w:r w:rsidR="001D5A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92D2F">
              <w:rPr>
                <w:rFonts w:ascii="Times New Roman" w:hAnsi="Times New Roman"/>
                <w:sz w:val="16"/>
                <w:szCs w:val="16"/>
                <w:vertAlign w:val="superscript"/>
              </w:rPr>
              <w:t>‡</w:t>
            </w:r>
            <w:r w:rsidRPr="001D5A91">
              <w:rPr>
                <w:rFonts w:ascii="Palatino Linotype" w:hAnsi="Palatino Linotype"/>
                <w:sz w:val="16"/>
                <w:szCs w:val="16"/>
                <w:vertAlign w:val="superscript"/>
              </w:rPr>
              <w:t xml:space="preserve">, </w:t>
            </w:r>
            <w:r w:rsidRPr="00392D2F">
              <w:rPr>
                <w:rFonts w:ascii="Times New Roman" w:hAnsi="Times New Roman"/>
                <w:sz w:val="16"/>
                <w:szCs w:val="16"/>
                <w:vertAlign w:val="superscript"/>
              </w:rPr>
              <w:t>§§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100.8 (82.8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136.5)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vAlign w:val="center"/>
          </w:tcPr>
          <w:p w:rsidR="00C637E0" w:rsidRPr="00392D2F" w:rsidRDefault="00C637E0" w:rsidP="00C637E0">
            <w:pPr>
              <w:widowControl/>
              <w:wordWrap/>
              <w:autoSpaceDE/>
              <w:autoSpaceDN/>
              <w:spacing w:before="0" w:beforeAutospacing="0" w:after="0" w:afterAutospacing="0"/>
              <w:jc w:val="lef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392D2F">
              <w:rPr>
                <w:rFonts w:ascii="Times New Roman" w:hAnsi="Times New Roman"/>
                <w:sz w:val="16"/>
                <w:szCs w:val="16"/>
              </w:rPr>
              <w:t>80.6 (69.3</w:t>
            </w:r>
            <w:r w:rsidR="001D5A91">
              <w:rPr>
                <w:rFonts w:ascii="Times New Roman" w:hAnsi="Times New Roman"/>
                <w:sz w:val="16"/>
                <w:szCs w:val="16"/>
              </w:rPr>
              <w:t>–</w:t>
            </w:r>
            <w:r w:rsidRPr="00392D2F">
              <w:rPr>
                <w:rFonts w:ascii="Times New Roman" w:hAnsi="Times New Roman"/>
                <w:sz w:val="16"/>
                <w:szCs w:val="16"/>
              </w:rPr>
              <w:t>107.3)</w:t>
            </w:r>
          </w:p>
        </w:tc>
      </w:tr>
    </w:tbl>
    <w:p w:rsidR="00C637E0" w:rsidRDefault="00C637E0" w:rsidP="00C637E0">
      <w:pPr>
        <w:wordWrap/>
        <w:spacing w:before="0" w:beforeAutospacing="0" w:after="0" w:afterAutospacing="0" w:line="360" w:lineRule="auto"/>
        <w:rPr>
          <w:rFonts w:ascii="Times New Roman" w:hAnsi="Times New Roman"/>
        </w:rPr>
      </w:pPr>
      <w:r w:rsidRPr="00C637E0">
        <w:rPr>
          <w:rFonts w:ascii="Times New Roman" w:hAnsi="Times New Roman"/>
        </w:rPr>
        <w:t xml:space="preserve">Table </w:t>
      </w:r>
      <w:r w:rsidR="00FE09B5">
        <w:rPr>
          <w:rFonts w:ascii="Times New Roman" w:hAnsi="Times New Roman"/>
        </w:rPr>
        <w:t>1</w:t>
      </w:r>
      <w:r w:rsidRPr="00C637E0">
        <w:rPr>
          <w:rFonts w:ascii="Times New Roman" w:hAnsi="Times New Roman"/>
        </w:rPr>
        <w:t>. Physiological variables during ischemia/reperfusion period. Values are presented as median with interquartile (Q1</w:t>
      </w:r>
      <w:r w:rsidR="001D5A91">
        <w:rPr>
          <w:rFonts w:ascii="Times New Roman" w:hAnsi="Times New Roman"/>
        </w:rPr>
        <w:t>–</w:t>
      </w:r>
      <w:r w:rsidRPr="00C637E0">
        <w:rPr>
          <w:rFonts w:ascii="Times New Roman" w:hAnsi="Times New Roman"/>
        </w:rPr>
        <w:t xml:space="preserve">Q3). All parameters are measured 10 min before ischemia (baseline), after 10 minutes of ischemia (ischemia), and after 30 minutes of reperfusion (reperfusion). </w:t>
      </w:r>
      <w:r w:rsidR="00CE496D" w:rsidRPr="00C637E0">
        <w:rPr>
          <w:rFonts w:ascii="Times New Roman" w:hAnsi="Times New Roman"/>
        </w:rPr>
        <w:t>Hb, hemoglobin; MAP, mean arterial pressure; PU, perfusion units; group C, control; group S, sevoflurane postconditioning; group R, resatorvid; group SR, sevoflurane postconditioning + resatorvid; group SH, sham.</w:t>
      </w:r>
      <w:r w:rsidRPr="00C637E0">
        <w:rPr>
          <w:rFonts w:ascii="Times New Roman" w:hAnsi="Times New Roman"/>
        </w:rPr>
        <w:t xml:space="preserve">**: P &lt; 0.01 vs. group S, ††: P &lt; 0.01 vs. group R, ‡‡: P &lt; 0.01 vs. group SR, §§: P &lt; 0.01 vs. group SH. *: </w:t>
      </w:r>
      <w:r w:rsidR="001D5A91">
        <w:rPr>
          <w:rFonts w:ascii="Times New Roman" w:hAnsi="Times New Roman"/>
          <w:i/>
        </w:rPr>
        <w:t>p</w:t>
      </w:r>
      <w:r w:rsidRPr="00C637E0">
        <w:rPr>
          <w:rFonts w:ascii="Times New Roman" w:hAnsi="Times New Roman"/>
        </w:rPr>
        <w:t xml:space="preserve"> &lt; 0.05 vs. group S, †: </w:t>
      </w:r>
      <w:r w:rsidR="001D5A91">
        <w:rPr>
          <w:rFonts w:ascii="Times New Roman" w:hAnsi="Times New Roman"/>
          <w:i/>
        </w:rPr>
        <w:t>p</w:t>
      </w:r>
      <w:r w:rsidRPr="00C637E0">
        <w:rPr>
          <w:rFonts w:ascii="Times New Roman" w:hAnsi="Times New Roman"/>
        </w:rPr>
        <w:t xml:space="preserve"> &lt; 0.05 vs. group R, ‡: </w:t>
      </w:r>
      <w:r w:rsidR="001D5A91">
        <w:rPr>
          <w:rFonts w:ascii="Times New Roman" w:hAnsi="Times New Roman"/>
          <w:i/>
        </w:rPr>
        <w:t>p</w:t>
      </w:r>
      <w:r w:rsidRPr="00C637E0">
        <w:rPr>
          <w:rFonts w:ascii="Times New Roman" w:hAnsi="Times New Roman"/>
        </w:rPr>
        <w:t xml:space="preserve"> &lt; 0.05 vs. group SR, §: P &lt; 0.05 vs. group SH. </w:t>
      </w:r>
    </w:p>
    <w:p w:rsidR="00C637E0" w:rsidRDefault="00C637E0" w:rsidP="00C637E0">
      <w:pPr>
        <w:wordWrap/>
        <w:spacing w:before="0" w:beforeAutospacing="0" w:after="0" w:afterAutospacing="0" w:line="360" w:lineRule="auto"/>
        <w:rPr>
          <w:rFonts w:ascii="Times New Roman" w:hAnsi="Times New Roman"/>
        </w:rPr>
      </w:pPr>
    </w:p>
    <w:p w:rsidR="00C637E0" w:rsidRDefault="00C637E0" w:rsidP="00C637E0">
      <w:pPr>
        <w:wordWrap/>
        <w:spacing w:before="0" w:beforeAutospacing="0" w:after="0" w:afterAutospacing="0" w:line="360" w:lineRule="auto"/>
        <w:rPr>
          <w:rFonts w:ascii="Times New Roman" w:hAnsi="Times New Roman"/>
        </w:rPr>
      </w:pPr>
    </w:p>
    <w:p w:rsidR="00EC4DC0" w:rsidRPr="00C637E0" w:rsidRDefault="00EC4DC0"/>
    <w:sectPr w:rsidR="00EC4DC0" w:rsidRPr="00C637E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784D" w:rsidRDefault="0067784D" w:rsidP="00CE496D">
      <w:pPr>
        <w:spacing w:before="0" w:after="0" w:line="240" w:lineRule="auto"/>
      </w:pPr>
      <w:r>
        <w:separator/>
      </w:r>
    </w:p>
  </w:endnote>
  <w:endnote w:type="continuationSeparator" w:id="0">
    <w:p w:rsidR="0067784D" w:rsidRDefault="0067784D" w:rsidP="00CE496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784D" w:rsidRDefault="0067784D" w:rsidP="00CE496D">
      <w:pPr>
        <w:spacing w:before="0" w:after="0" w:line="240" w:lineRule="auto"/>
      </w:pPr>
      <w:r>
        <w:separator/>
      </w:r>
    </w:p>
  </w:footnote>
  <w:footnote w:type="continuationSeparator" w:id="0">
    <w:p w:rsidR="0067784D" w:rsidRDefault="0067784D" w:rsidP="00CE496D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8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7E0"/>
    <w:rsid w:val="000E1545"/>
    <w:rsid w:val="001D5A91"/>
    <w:rsid w:val="00242731"/>
    <w:rsid w:val="002F1648"/>
    <w:rsid w:val="00335FF3"/>
    <w:rsid w:val="003A7A80"/>
    <w:rsid w:val="004E1D7F"/>
    <w:rsid w:val="00541244"/>
    <w:rsid w:val="00564CE3"/>
    <w:rsid w:val="0062312E"/>
    <w:rsid w:val="0067784D"/>
    <w:rsid w:val="00810915"/>
    <w:rsid w:val="00865E92"/>
    <w:rsid w:val="00890981"/>
    <w:rsid w:val="009C1A62"/>
    <w:rsid w:val="00AE61FF"/>
    <w:rsid w:val="00B50A5B"/>
    <w:rsid w:val="00B95FFD"/>
    <w:rsid w:val="00BF1818"/>
    <w:rsid w:val="00C637E0"/>
    <w:rsid w:val="00C85F71"/>
    <w:rsid w:val="00C96F62"/>
    <w:rsid w:val="00CE496D"/>
    <w:rsid w:val="00E75B06"/>
    <w:rsid w:val="00EC4DC0"/>
    <w:rsid w:val="00F007ED"/>
    <w:rsid w:val="00FE0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7C6D6CF-E429-43F3-B7C8-9229452AE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37E0"/>
    <w:pPr>
      <w:widowControl w:val="0"/>
      <w:wordWrap w:val="0"/>
      <w:autoSpaceDE w:val="0"/>
      <w:autoSpaceDN w:val="0"/>
      <w:spacing w:before="100" w:beforeAutospacing="1" w:after="100" w:afterAutospacing="1" w:line="480" w:lineRule="auto"/>
    </w:pPr>
    <w:rPr>
      <w:rFonts w:ascii="Malgun Gothic" w:eastAsia="Malgun Gothic" w:hAnsi="Malgun Gothic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1">
    <w:name w:val="표 구분선1"/>
    <w:basedOn w:val="TableNormal"/>
    <w:next w:val="TableGrid"/>
    <w:uiPriority w:val="59"/>
    <w:rsid w:val="00C637E0"/>
    <w:pPr>
      <w:spacing w:after="0" w:line="240" w:lineRule="auto"/>
      <w:jc w:val="left"/>
    </w:pPr>
    <w:rPr>
      <w:rFonts w:ascii="Malgun Gothic" w:eastAsia="Malgun Gothic" w:hAnsi="Malgun Gothic" w:cs="Times New Roman"/>
      <w:kern w:val="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C637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E496D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CE496D"/>
    <w:rPr>
      <w:rFonts w:ascii="Malgun Gothic" w:eastAsia="Malgun Gothic" w:hAnsi="Malgun Gothic" w:cs="Times New Roman"/>
    </w:rPr>
  </w:style>
  <w:style w:type="paragraph" w:styleId="Footer">
    <w:name w:val="footer"/>
    <w:basedOn w:val="Normal"/>
    <w:link w:val="FooterChar"/>
    <w:uiPriority w:val="99"/>
    <w:unhideWhenUsed/>
    <w:rsid w:val="00CE496D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CE496D"/>
    <w:rPr>
      <w:rFonts w:ascii="Malgun Gothic" w:eastAsia="Malgun Gothic" w:hAnsi="Malgun Gothic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466</Words>
  <Characters>2659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SNUH</dc:creator>
  <cp:keywords/>
  <dc:description/>
  <cp:lastModifiedBy>MDPI</cp:lastModifiedBy>
  <cp:revision>8</cp:revision>
  <dcterms:created xsi:type="dcterms:W3CDTF">2017-09-13T11:22:00Z</dcterms:created>
  <dcterms:modified xsi:type="dcterms:W3CDTF">2017-11-03T03:36:00Z</dcterms:modified>
</cp:coreProperties>
</file>