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48EC31" w14:textId="77777777" w:rsidR="00F400C3" w:rsidRPr="00C86DC0" w:rsidRDefault="00F400C3" w:rsidP="00C86DC0">
      <w:pPr>
        <w:pStyle w:val="MDPI21heading1"/>
        <w:spacing w:before="0" w:after="240" w:line="240" w:lineRule="atLeast"/>
        <w:outlineLvl w:val="9"/>
        <w:rPr>
          <w:sz w:val="36"/>
        </w:rPr>
      </w:pPr>
      <w:r w:rsidRPr="00C86DC0">
        <w:rPr>
          <w:sz w:val="36"/>
        </w:rPr>
        <w:t>Supplementary Materials</w:t>
      </w:r>
    </w:p>
    <w:p w14:paraId="2C99F9EE" w14:textId="77777777" w:rsidR="00F400C3" w:rsidRPr="00C86DC0" w:rsidRDefault="00F400C3" w:rsidP="00C86DC0">
      <w:pPr>
        <w:pStyle w:val="MDPI21heading1"/>
      </w:pPr>
      <w:r w:rsidRPr="00C86DC0">
        <w:t>Materials and Methods</w:t>
      </w:r>
    </w:p>
    <w:p w14:paraId="433560C6" w14:textId="77777777" w:rsidR="00C86DC0" w:rsidRPr="00C86DC0" w:rsidRDefault="00F400C3" w:rsidP="00C86DC0">
      <w:pPr>
        <w:pStyle w:val="MDPI22heading2"/>
      </w:pPr>
      <w:r w:rsidRPr="00C86DC0">
        <w:rPr>
          <w:noProof w:val="0"/>
        </w:rPr>
        <w:t>Monocro</w:t>
      </w:r>
      <w:r w:rsidR="00C86DC0" w:rsidRPr="00C86DC0">
        <w:t>taline-induced PAH animal model</w:t>
      </w:r>
    </w:p>
    <w:p w14:paraId="2A15E91E" w14:textId="1F03D277" w:rsidR="00F400C3" w:rsidRPr="0022576B" w:rsidRDefault="00F400C3" w:rsidP="00C86DC0">
      <w:pPr>
        <w:pStyle w:val="MDPI31text"/>
        <w:rPr>
          <w:color w:val="000000" w:themeColor="text1"/>
        </w:rPr>
      </w:pPr>
      <w:r w:rsidRPr="00C86DC0">
        <w:t>Experiments were conducted in accordance the Canadian Council on Animal Care and approved by the Queen’s University Animal Care Committee.</w:t>
      </w:r>
      <w:r w:rsidRPr="00C86DC0">
        <w:rPr>
          <w:b/>
          <w:i/>
        </w:rPr>
        <w:t xml:space="preserve"> </w:t>
      </w:r>
      <w:r w:rsidRPr="00C86DC0">
        <w:t xml:space="preserve">Male Sprague-Dawley rats (~ 270 g, Charles River, QC, Canada) received a single subcutaneous injection of monocrotaline (MCT; 60 mg/kg; C2401; Sigma-Aldrich, Oakville, ON, Canada; n=13) or PBS (Thermo Fisher Scientific, Waltham, MA, USA; SH3025601; n=13). 4 weeks post-injection, animals were scarified, and tissues harvested. Experiments were designed and performed </w:t>
      </w:r>
      <w:r w:rsidRPr="0022576B">
        <w:rPr>
          <w:color w:val="000000" w:themeColor="text1"/>
        </w:rPr>
        <w:t xml:space="preserve">with attention to guidelines designed to enhance the robustness of preclinical investigation (see </w:t>
      </w:r>
      <w:r w:rsidRPr="0022576B">
        <w:rPr>
          <w:rStyle w:val="FootnoteReference"/>
          <w:rFonts w:ascii="Arial" w:hAnsi="Arial" w:cs="Arial"/>
          <w:color w:val="000000" w:themeColor="text1"/>
        </w:rPr>
        <w:fldChar w:fldCharType="begin" w:fldLock="1"/>
      </w:r>
      <w:r w:rsidRPr="0022576B">
        <w:rPr>
          <w:color w:val="000000" w:themeColor="text1"/>
        </w:rPr>
        <w:instrText>ADDIN CSL_CITATION { "citationItems" : [ { "id" : "ITEM-1", "itemData" : { "DOI" : "10.1161/CIRCRESAHA.117.312579", "ISSN" : "1524-4571", "PMID" : "29599278", "abstract" : "Despite advances in our understanding of the pathophysiology and the management of pulmonary arterial hypertension (PAH), significant therapeutic gaps remain for this devastating disease. Yet, few innovative therapies beyond the traditional pathways of endothelial dysfunction have reached clinical trial phases in PAH. Although there are inherent limitations of the currently available models of PAH, the leaky pipeline of innovative therapies relates, in part, to flawed preclinical research methodology, including lack of rigour in trial design, incomplete invasive hemodynamic assessment, and lack of careful translational studies that replicate randomized controlled trials in humans with attention to adverse effects and benefits. Rigorous methodology should include the use of prespecified eligibility criteria, sample sizes that permit valid statistical analysis, randomization, blinded assessment of standardized outcomes, and transparent reporting of results. Better design and implementation of preclinical studies can minimize inherent flaws in the models of PAH, reduce the risk of bias, and enhance external validity and our ability to distinguish truly promising therapies form many false-positive or overstated leads. Ideally, preclinical studies should use advanced imaging, study several preclinical pulmonary hypertension models, or correlate rodent and human findings and consider the fate of the right ventricle, which is the major determinant of prognosis in human PAH. Although these principles are widely endorsed, empirical evidence suggests that such rigor is often lacking in pulmonary hypertension preclinical research. The present article discusses the pitfalls in the design of preclinical pulmonary hypertension trials and discusses opportunities to create preclinical trials with improved predictive value in guiding early-phase drug development in patients with PAH, which will need support not only from researchers, peer reviewers, and editors but also from academic institutions, funding agencies, and animal ethics authorities.", "author" : [ { "dropping-particle" : "", "family" : "Provencher", "given" : "Steeve", "non-dropping-particle" : "", "parse-names" : false, "suffix" : "" }, { "dropping-particle" : "", "family" : "Archer", "given" : "Stephen L", "non-dropping-particle" : "", "parse-names" : false, "suffix" : "" }, { "dropping-particle" : "", "family" : "Ramirez", "given" : "F Daniel", "non-dropping-particle" : "", "parse-names" : false, "suffix" : "" }, { "dropping-particle" : "", "family" : "Hibbert", "given" : "Benjamin", "non-dropping-particle" : "", "parse-names" : false, "suffix" : "" }, { "dropping-particle" : "", "family" : "Paulin", "given" : "Roxane", "non-dropping-particle" : "", "parse-names" : false, "suffix" : "" }, { "dropping-particle" : "", "family" : "Boucherat", "given" : "Olivier", "non-dropping-particle" : "", "parse-names" : false, "suffix" : "" }, { "dropping-particle" : "", "family" : "Lacasse", "given" : "Yves", "non-dropping-particle" : "", "parse-names" : false, "suffix" : "" }, { "dropping-particle" : "", "family" : "Bonnet", "given" : "S\u00e9bastien", "non-dropping-particle" : "", "parse-names" : false, "suffix" : "" } ], "container-title" : "Circulation research", "id" : "ITEM-1", "issue" : "7", "issued" : { "date-parts" : [ [ "2018", "3", "30" ] ] }, "page" : "1021-1032", "publisher" : "American Heart Association, Inc.", "title" : "Standards and Methodological Rigor in Pulmonary Arterial Hypertension Preclinical and Translational Research.", "type" : "article-journal", "volume" : "122" }, "uris" : [ "http://www.mendeley.com/documents/?uuid=0a006c2e-e22e-33f2-bbef-01616419774e" ] } ], "mendeley" : { "formattedCitation" : "[73]", "plainTextFormattedCitation" : "[73]", "previouslyFormattedCitation" : "[68]" }, "properties" : { "noteIndex" : 0 }, "schema" : "https://github.com/citation-style-language/schema/raw/master/csl-citation.json" }</w:instrText>
      </w:r>
      <w:r w:rsidRPr="0022576B">
        <w:rPr>
          <w:rStyle w:val="FootnoteReference"/>
          <w:rFonts w:ascii="Arial" w:hAnsi="Arial" w:cs="Arial"/>
          <w:color w:val="000000" w:themeColor="text1"/>
        </w:rPr>
        <w:fldChar w:fldCharType="separate"/>
      </w:r>
      <w:r w:rsidRPr="0022576B">
        <w:rPr>
          <w:color w:val="000000" w:themeColor="text1"/>
        </w:rPr>
        <w:t>[73]</w:t>
      </w:r>
      <w:r w:rsidRPr="0022576B">
        <w:rPr>
          <w:rStyle w:val="FootnoteReference"/>
          <w:rFonts w:ascii="Arial" w:hAnsi="Arial" w:cs="Arial"/>
          <w:color w:val="000000" w:themeColor="text1"/>
        </w:rPr>
        <w:fldChar w:fldCharType="end"/>
      </w:r>
      <w:r w:rsidRPr="0022576B">
        <w:rPr>
          <w:color w:val="000000" w:themeColor="text1"/>
        </w:rPr>
        <w:t>).</w:t>
      </w:r>
      <w:r w:rsidR="0022576B" w:rsidRPr="0022576B">
        <w:rPr>
          <w:color w:val="000000" w:themeColor="text1"/>
        </w:rPr>
        <w:t xml:space="preserve"> </w:t>
      </w:r>
      <w:r w:rsidR="0022576B" w:rsidRPr="0022576B">
        <w:rPr>
          <w:rFonts w:ascii="Arial Hebrew" w:hAnsi="Arial Hebrew" w:cs="Arial Hebrew" w:hint="cs"/>
          <w:color w:val="000000" w:themeColor="text1"/>
          <w:szCs w:val="20"/>
        </w:rPr>
        <w:t xml:space="preserve">RNA-Seq has been performed on 5 control rats and 6 MCT rats. Complex I/IV and PDH activities as well as Western blots, have been performed in 5 control rats and 4 MCT rats  (animals used for RNA seq). PCR validation has been performed in a </w:t>
      </w:r>
      <w:r w:rsidR="0022576B" w:rsidRPr="0022576B">
        <w:rPr>
          <w:rFonts w:ascii="Cambria" w:hAnsi="Cambria" w:cs="Arial Hebrew"/>
          <w:color w:val="000000" w:themeColor="text1"/>
          <w:szCs w:val="20"/>
        </w:rPr>
        <w:t>separate additional</w:t>
      </w:r>
      <w:r w:rsidR="0022576B" w:rsidRPr="0022576B">
        <w:rPr>
          <w:rFonts w:ascii="Arial Hebrew" w:hAnsi="Arial Hebrew" w:cs="Arial Hebrew" w:hint="cs"/>
          <w:color w:val="000000" w:themeColor="text1"/>
          <w:szCs w:val="20"/>
        </w:rPr>
        <w:t xml:space="preserve"> cohort of 7 control rats and 7 MCT rats.  Hemodynamic parameters </w:t>
      </w:r>
      <w:r w:rsidR="0022576B" w:rsidRPr="0022576B">
        <w:rPr>
          <w:rFonts w:ascii="Cambria" w:hAnsi="Cambria" w:cs="Arial Hebrew"/>
          <w:color w:val="000000" w:themeColor="text1"/>
          <w:szCs w:val="20"/>
        </w:rPr>
        <w:t>were</w:t>
      </w:r>
      <w:r w:rsidR="0022576B" w:rsidRPr="0022576B">
        <w:rPr>
          <w:rFonts w:ascii="Arial Hebrew" w:hAnsi="Arial Hebrew" w:cs="Arial Hebrew" w:hint="cs"/>
          <w:color w:val="000000" w:themeColor="text1"/>
          <w:szCs w:val="20"/>
        </w:rPr>
        <w:t xml:space="preserve"> performed on 15 control rats and 8 MCT rats which include all the animals used for RNA-Seq. </w:t>
      </w:r>
      <w:r w:rsidR="0022576B" w:rsidRPr="0022576B">
        <w:rPr>
          <w:rFonts w:ascii="Cambria" w:hAnsi="Cambria" w:cs="Arial Hebrew"/>
          <w:color w:val="000000" w:themeColor="text1"/>
          <w:szCs w:val="20"/>
        </w:rPr>
        <w:t>In total this study evaluated 15 control and 13 monocrotaline rats.</w:t>
      </w:r>
    </w:p>
    <w:p w14:paraId="259CEC95" w14:textId="77777777" w:rsidR="00F400C3" w:rsidRPr="00C86DC0" w:rsidRDefault="00F400C3" w:rsidP="00C86DC0">
      <w:pPr>
        <w:pStyle w:val="MDPI22heading2"/>
      </w:pPr>
      <w:r w:rsidRPr="00C86DC0">
        <w:t>Hemodynamic parameters</w:t>
      </w:r>
    </w:p>
    <w:p w14:paraId="102CCAF3" w14:textId="77777777" w:rsidR="00F400C3" w:rsidRPr="00C86DC0" w:rsidRDefault="00F400C3" w:rsidP="00C86DC0">
      <w:pPr>
        <w:pStyle w:val="MDPI31text"/>
      </w:pPr>
      <w:r w:rsidRPr="00C86DC0">
        <w:t>Echocardiography: Non-invasive doppler, 2-dimensional, M-mode, Tissue imaging and pulsed wave echocardiography were performed on anesthetized animals (5% isoflurane induction and maintained with 2% during procedures) using a high-frequency ultrasound system (Vevo 2100; Visual Sonics, Toronto, ON, Canada), as previously described</w:t>
      </w:r>
      <w:r w:rsidRPr="00C86DC0">
        <w:rPr>
          <w:rStyle w:val="FootnoteReference"/>
          <w:rFonts w:cs="Arial"/>
        </w:rPr>
        <w:fldChar w:fldCharType="begin" w:fldLock="1"/>
      </w:r>
      <w:r w:rsidRPr="00C86DC0">
        <w:instrText>ADDIN CSL_CITATION { "citationItems" : [ { "id" : "ITEM-1", "itemData" : { "DOI" : "10.1161/CIRCULATIONAHA.115.016382", "ISSN" : "1524-4539", "PMID" : "26162916", "abstract" : "BACKGROUND: -Right ventricular (RV) failure is the most important factor of both morbidity and mortality in pulmonary arterial hypertension (PAH). Nonetheless, the underlying mechanisms resulting to the failing RV in PAH remain unknown. There is growing evidence that angiogenesis and microRNAs are involved in PAH-associated RV failure. We hypothesized that miR-126 downregulation decreases micro-vessel density and promotes the transition from a compensated to a decompensated RV in PAH.\n\nMETHODS AND RESULTS: -We studied RV free wall tissues from humans with normal RV (NRV n=17), compensated RV hypertrophy (CRVH n=8) and PAH patients with decompensated RV failure (DRV n=14). When compared to RV tissues from patients with CRVH, DRV patients had decreased miR-126 expression (qRT-PCR; p&lt;0.01) and capillary density (CD31+ immunofluorescence; p&lt;0.001) while LV tissues were not affected. MiR-126 downregulation was associated with increased SPRED-1, leading to decreased activation of RAF (P-RAF/RAF) and MAP kinase (P-MAP/MAP), thus inhibiting the VEGF pathway. In vitro, matrigel assay showed that miR-126 up-regulation increased angiogenesis of primary cultured endothelial cells from DRV patients. Furthermore, in vivo miR-126 up-regulation (mimic i.v injection) improved cardiac vascular density and function of monocrotaline-induced PAH animals.\n\nCONCLUSIONS: -RV failure in PAH is associated with a specific molecular signature within the RV, contributing to a decrease in RV vascular density and promoting the progression to RV failure. More importantly, miR-126 upregulation in the RV improves microvessel density and RV function in experimental PAH.", "author" : [ { "dropping-particle" : "", "family" : "Potus", "given" : "Fran\u00e7ois", "non-dropping-particle" : "", "parse-names" : false, "suffix" : "" }, { "dropping-particle" : "", "family" : "Ruffenach", "given" : "Gr\u00e9goire", "non-dropping-particle" : "", "parse-names" : false, "suffix" : "" }, { "dropping-particle" : "", "family" : "Dahou", "given" : "Abdellaziz", "non-dropping-particle" : "", "parse-names" : false, "suffix" : "" }, { "dropping-particle" : "", "family" : "Thebault", "given" : "Christophe", "non-dropping-particle" : "", "parse-names" : false, "suffix" : "" }, { "dropping-particle" : "", "family" : "Breuils-Bonnet", "given" : "Sandra", "non-dropping-particle" : "", "parse-names" : false, "suffix" : "" }, { "dropping-particle" : "", "family" : "Tremblay", "given" : "\u00c8ve", "non-dropping-particle" : "", "parse-names" : false, "suffix" : "" }, { "dropping-particle" : "", "family" : "Nadeau", "given" : "Valerie", "non-dropping-particle" : "", "parse-names" : false, "suffix" : "" }, { "dropping-particle" : "", "family" : "Paradis", "given" : "Ren\u00e9e", "non-dropping-particle" : "", "parse-names" : false, "suffix" : "" }, { "dropping-particle" : "", "family" : "Graydon", "given" : "Colin", "non-dropping-particle" : "", "parse-names" : false, "suffix" : "" }, { "dropping-particle" : "", "family" : "Wong", "given" : "Ryan", "non-dropping-particle" : "", "parse-names" : false, "suffix" : "" }, { "dropping-particle" : "", "family" : "Johnson", "given" : "Ian", "non-dropping-particle" : "", "parse-names" : false, "suffix" : "" }, { "dropping-particle" : "", "family" : "Paulin", "given" : "Roxane", "non-dropping-particle" : "", "parse-names" : false, "suffix" : "" }, { "dropping-particle" : "", "family" : "Lajoie", "given" : "Annie C", "non-dropping-particle" : "", "parse-names" : false, "suffix" : "" }, { "dropping-particle" : "", "family" : "Perron", "given" : "Jean", "non-dropping-particle" : "", "parse-names" : false, "suffix" : "" }, { "dropping-particle" : "", "family" : "Charbonneau", "given" : "Eric", "non-dropping-particle" : "", "parse-names" : false, "suffix" : "" }, { "dropping-particle" : "", "family" : "Joubert", "given" : "Philippe", "non-dropping-particle" : "", "parse-names" : false, "suffix" : "" }, { "dropping-particle" : "", "family" : "Pibarot", "given" : "Philippe", "non-dropping-particle" : "", "parse-names" : false, "suffix" : "" }, { "dropping-particle" : "", "family" : "Michelakis", "given" : "Evangelos D", "non-dropping-particle" : "", "parse-names" : false, "suffix" : "" }, { "dropping-particle" : "", "family" : "Provencher", "given" : "Steeve", "non-dropping-particle" : "", "parse-names" : false, "suffix" : "" }, { "dropping-particle" : "", "family" : "Bonnet", "given" : "S\u00e9bastien", "non-dropping-particle" : "", "parse-names" : false, "suffix" : "" } ], "container-title" : "Circulation", "id" : "ITEM-1", "issue" : "10", "issued" : { "date-parts" : [ [ "2015", "7", "10" ] ] }, "page" : "932-43", "title" : "Downregulation of miR-126 Contributes to the Failing Right Ventricle in Pulmonary Arterial Hypertension.", "type" : "article-journal", "volume" : "132" }, "uris" : [ "http://www.mendeley.com/documents/?uuid=af4a1c16-7790-4380-9d63-e1d357e87a30" ] } ], "mendeley" : { "formattedCitation" : "[19]", "plainTextFormattedCitation" : "[19]", "previouslyFormattedCitation" : "[19]" }, "properties" : { "noteIndex" : 0 }, "schema" : "https://github.com/citation-style-language/schema/raw/master/csl-citation.json" }</w:instrText>
      </w:r>
      <w:r w:rsidRPr="00C86DC0">
        <w:rPr>
          <w:rStyle w:val="FootnoteReference"/>
          <w:rFonts w:cs="Arial"/>
        </w:rPr>
        <w:fldChar w:fldCharType="separate"/>
      </w:r>
      <w:r w:rsidRPr="00C86DC0">
        <w:t>[19]</w:t>
      </w:r>
      <w:r w:rsidRPr="00C86DC0">
        <w:rPr>
          <w:rStyle w:val="FootnoteReference"/>
          <w:rFonts w:cs="Arial"/>
        </w:rPr>
        <w:fldChar w:fldCharType="end"/>
      </w:r>
      <w:r w:rsidRPr="00C86DC0">
        <w:t>. The following variables were measured: pulmonary artery acceleration time (PAAT), tricuspid and mitral annular plane systolic excursion (TAPSE; MAPSE), S-wave, e’-wave, E-wave. RVFW systolic thickening was calculated as (RVFW</w:t>
      </w:r>
      <w:r w:rsidRPr="00C86DC0">
        <w:rPr>
          <w:vertAlign w:val="subscript"/>
        </w:rPr>
        <w:t xml:space="preserve">systole </w:t>
      </w:r>
      <w:r w:rsidRPr="00C86DC0">
        <w:t>-RVFW</w:t>
      </w:r>
      <w:r w:rsidRPr="00C86DC0">
        <w:rPr>
          <w:vertAlign w:val="subscript"/>
        </w:rPr>
        <w:t>diastole</w:t>
      </w:r>
      <w:r w:rsidRPr="00C86DC0">
        <w:t>)/RVFW</w:t>
      </w:r>
      <w:r w:rsidRPr="00C86DC0">
        <w:rPr>
          <w:vertAlign w:val="subscript"/>
        </w:rPr>
        <w:t>diastole</w:t>
      </w:r>
      <w:r w:rsidRPr="00C86DC0">
        <w:t xml:space="preserve">. Diastolic function of the left ventricle was assessed by E/e’ ratio. </w:t>
      </w:r>
    </w:p>
    <w:p w14:paraId="24DEEB14" w14:textId="77777777" w:rsidR="00C86DC0" w:rsidRPr="00C86DC0" w:rsidRDefault="00F400C3" w:rsidP="00C86DC0">
      <w:pPr>
        <w:pStyle w:val="MDPI22heading2"/>
      </w:pPr>
      <w:r w:rsidRPr="00C86DC0">
        <w:rPr>
          <w:noProof w:val="0"/>
        </w:rPr>
        <w:t>Ri</w:t>
      </w:r>
      <w:r w:rsidR="00C86DC0" w:rsidRPr="00C86DC0">
        <w:t>ght heart catheterization (RHC)</w:t>
      </w:r>
    </w:p>
    <w:p w14:paraId="2172964F" w14:textId="4CFD1A18" w:rsidR="00F400C3" w:rsidRPr="00C86DC0" w:rsidRDefault="00F400C3" w:rsidP="00C86DC0">
      <w:pPr>
        <w:pStyle w:val="MDPI31text"/>
      </w:pPr>
      <w:r w:rsidRPr="00C86DC0">
        <w:t>Invasive closed-chest RHC was performed to obtain RV pressure-volume (PV) loops. Briefly, animals were anesthetized with 5% isoflurane induction and maintained with 3% during procedures. During</w:t>
      </w:r>
      <w:r w:rsidR="00C86DC0">
        <w:t xml:space="preserve"> </w:t>
      </w:r>
      <w:r w:rsidRPr="00C86DC0">
        <w:t>catheterization,</w:t>
      </w:r>
      <w:r w:rsidR="00C86DC0">
        <w:t xml:space="preserve"> </w:t>
      </w:r>
      <w:r w:rsidRPr="00C86DC0">
        <w:t xml:space="preserve">rats were intubated and ventilated. A high-fidelity catheter (Scisence pressure-volume catheter; Transonic, London, ON, Canada) was advanced into the right ventricle (RV) via the jugular vein and right atria, in closed-chest rats. RV pressure and volume were recorded continuously using Scisense ADV500 Pressure-Volume Measurement System (Transonic, London, ON, Canada) and LabScribe2 software (iWorx, Dover, NH, USA). Pressure volume loops (PV-loop) were generated at baseline and during unloading by abdominal aorta section. RV systolic pressure and end-diastolic pressure (RVSP and RVEDP, respectively) were directly obtained from the pressure trace. Stroke volume (SV), end diastolic volume (EDV), end systolic pressure (ESP) was obtained from the PV-loop. Total pulmonary resistance (TPR) was then calculated as mPAP/CO, where CO is cardiac output calculated as (RV end-diastolic volume – RV end-systolic volume) </w:t>
      </w:r>
      <m:oMath>
        <m:r>
          <m:rPr>
            <m:sty m:val="p"/>
          </m:rPr>
          <w:rPr>
            <w:rFonts w:ascii="Cambria Math" w:hAnsi="Cambria Math"/>
          </w:rPr>
          <m:t>×</m:t>
        </m:r>
      </m:oMath>
      <w:r w:rsidRPr="00C86DC0">
        <w:t xml:space="preserve"> heart rate (HR), and mPAP is the mean pulmonary artery pressure estimated as 0.61 </w:t>
      </w:r>
      <m:oMath>
        <m:r>
          <m:rPr>
            <m:sty m:val="p"/>
          </m:rPr>
          <w:rPr>
            <w:rFonts w:ascii="Cambria Math" w:hAnsi="Cambria Math"/>
          </w:rPr>
          <m:t>×</m:t>
        </m:r>
      </m:oMath>
      <w:r w:rsidRPr="00C86DC0">
        <w:t xml:space="preserve"> RVSP + 2</w:t>
      </w:r>
      <w:r w:rsidRPr="00C86DC0">
        <w:rPr>
          <w:rStyle w:val="FootnoteReference"/>
          <w:rFonts w:ascii="Arial" w:hAnsi="Arial" w:cs="Arial"/>
        </w:rPr>
        <w:fldChar w:fldCharType="begin" w:fldLock="1"/>
      </w:r>
      <w:r w:rsidRPr="00C86DC0">
        <w:instrText>ADDIN CSL_CITATION { "citationItems" : [ { "id" : "ITEM-1", "itemData" : { "DOI" : "10.1378/chest.126.4.1313", "ISSN" : "00123692", "PMID" : "15486398", "abstract" : "STUDY OBJECTIVES Mean pulmonary artery pressure (MPAP) and systolic pulmonary artery pressure (SPAP) are used interchangeably to define pulmonary hypertension (PH). We tested the hypothesis that the measurement of MPAP and SPAP is redundant in resting humans over a wide pressure range. DESIGN Prospective, observational study. SETTING Catheterization laboratory in a university hospital. PATIENTS This study involved 31 patients, as follows: primary PH, nine patients; chronic pulmonary thromboembolism, seven patients; venous PH, six patients; and control subjects with normal pulmonary artery pressure, nine patients. INTERVENTIONS None. MEASUREMENTS AND RESULTS High-fidelity pulmonary artery pressures were obtained when patients were at rest. Over the wide MPAP range that was under study (10 to 78 mm Hg), MPAP and SPAP were strongly related (r(2) = 0.98). Regression analysis performed on the first 16 subjects (test sample) allowed us to propose a formula (MPAP = 0.61 SPAP + 2 mm Hg), the accuracy of which was confirmed in the remaining 15 subjects (validation sample bias, 0 +/- 2 mm Hg). If PH was defined by an SPAP in excess of 30 or 40 mm Hg, this corresponded to an MPAP in excess of 20 or 26 mm Hg. If PH was defined by an MPAP of &gt; 25 mm Hg, this corresponded to an SPAP of &gt; 38 mm Hg. CONCLUSIONS In resting humans, MPAP can be accurately predicted from SPAP over a wide pressure range. The new formula may help to refine the threshold pressure values used in the diagnosis of PH. Further studies are needed to test the hypothesis that our formula may allow the noninvasive prediction of MPAP from Doppler-derived SPAP values.", "author" : [ { "dropping-particle" : "", "family" : "Chemla", "given" : "Denis", "non-dropping-particle" : "", "parse-names" : false, "suffix" : "" }, { "dropping-particle" : "", "family" : "Castelain", "given" : "Vincent", "non-dropping-particle" : "", "parse-names" : false, "suffix" : "" }, { "dropping-particle" : "", "family" : "Humbert", "given" : "Marc", "non-dropping-particle" : "", "parse-names" : false, "suffix" : "" }, { "dropping-particle" : "", "family" : "H\u00e9bert", "given" : "Jean-Louis", "non-dropping-particle" : "", "parse-names" : false, "suffix" : "" }, { "dropping-particle" : "", "family" : "Simonneau", "given" : "G\u00e9rald", "non-dropping-particle" : "", "parse-names" : false, "suffix" : "" }, { "dropping-particle" : "", "family" : "Lecarpentier", "given" : "Yves", "non-dropping-particle" : "", "parse-names" : false, "suffix" : "" }, { "dropping-particle" : "", "family" : "Herv\u00e9", "given" : "Philippe", "non-dropping-particle" : "", "parse-names" : false, "suffix" : "" } ], "container-title" : "Chest", "id" : "ITEM-1", "issue" : "4", "issued" : { "date-parts" : [ [ "2004", "10" ] ] }, "page" : "1313-1317", "title" : "New Formula for Predicting Mean Pulmonary Artery Pressure Using Systolic Pulmonary Artery Pressure", "type" : "article-journal", "volume" : "126" }, "uris" : [ "http://www.mendeley.com/documents/?uuid=29e32dc3-708d-3873-bc86-6219d911bbea" ] } ], "mendeley" : { "formattedCitation" : "[74]", "plainTextFormattedCitation" : "[74]", "previouslyFormattedCitation" : "[69]" }, "properties" : { "noteIndex" : 0 }, "schema" : "https://github.com/citation-style-language/schema/raw/master/csl-citation.json" }</w:instrText>
      </w:r>
      <w:r w:rsidRPr="00C86DC0">
        <w:rPr>
          <w:rStyle w:val="FootnoteReference"/>
          <w:rFonts w:ascii="Arial" w:hAnsi="Arial" w:cs="Arial"/>
        </w:rPr>
        <w:fldChar w:fldCharType="separate"/>
      </w:r>
      <w:r w:rsidRPr="00C86DC0">
        <w:t>[74]</w:t>
      </w:r>
      <w:r w:rsidRPr="00C86DC0">
        <w:rPr>
          <w:rStyle w:val="FootnoteReference"/>
          <w:rFonts w:ascii="Arial" w:hAnsi="Arial" w:cs="Arial"/>
        </w:rPr>
        <w:fldChar w:fldCharType="end"/>
      </w:r>
      <w:r w:rsidRPr="00C86DC0">
        <w:t>. Diastolic function was assessed by peak rate pressure decline (dp/dtmin); Tau Mirnsky, relaxation time constant calculated by Mirnsky method which evaluates the time needed for RV pressure to fall to one-half of its value from peak rate of RV pressure fall (dP/dt</w:t>
      </w:r>
      <w:r w:rsidRPr="00C86DC0">
        <w:rPr>
          <w:vertAlign w:val="subscript"/>
        </w:rPr>
        <w:t>min</w:t>
      </w:r>
      <w:r w:rsidRPr="00C86DC0">
        <w:t>)</w:t>
      </w:r>
      <w:r w:rsidRPr="00C86DC0">
        <w:fldChar w:fldCharType="begin" w:fldLock="1"/>
      </w:r>
      <w:r w:rsidRPr="00C86DC0">
        <w:instrText>ADDIN CSL_CITATION { "citationItems" : [ { "id" : "ITEM-1", "itemData" : { "ISSN" : "0009-7322", "PMID" : "6697466", "author" : [ { "dropping-particle" : "", "family" : "Mirsky", "given" : "I", "non-dropping-particle" : "", "parse-names" : false, "suffix" : "" } ], "container-title" : "Circulation", "id" : "ITEM-1", "issue" : "4", "issued" : { "date-parts" : [ [ "1984", "4" ] ] }, "page" : "836-41", "title" : "Assessment of diastolic function: suggested methods and future considerations.", "type" : "article-journal", "volume" : "69" }, "uris" : [ "http://www.mendeley.com/documents/?uuid=d02b1050-768f-3c4c-a78d-6519629cd34d" ] } ], "mendeley" : { "formattedCitation" : "[75]", "plainTextFormattedCitation" : "[75]", "previouslyFormattedCitation" : "[70]" }, "properties" : { "noteIndex" : 0 }, "schema" : "https://github.com/citation-style-language/schema/raw/master/csl-citation.json" }</w:instrText>
      </w:r>
      <w:r w:rsidRPr="00C86DC0">
        <w:fldChar w:fldCharType="separate"/>
      </w:r>
      <w:r w:rsidRPr="00C86DC0">
        <w:t>[75]</w:t>
      </w:r>
      <w:r w:rsidRPr="00C86DC0">
        <w:fldChar w:fldCharType="end"/>
      </w:r>
      <w:r w:rsidRPr="00C86DC0">
        <w:t xml:space="preserve">. Systolic function was measured by calculating by calculating the peak rate of pressure rise (dp/dtmax), stroke work (SW), and ejection fraction (EF). Preload recruitable stroke work (PRSW) and the pressure volume area (PVA)-EDV relationship (PVA/EDV) were used as contractility indices. Arterial elastance (Ea) was calculated as the ratio of ESP to SV and maximal elastance (Emax) was determined as the slope of the end systolic pressure volume relationship after altering preload. These parameters were used to calculate </w:t>
      </w:r>
      <w:r w:rsidRPr="00C86DC0">
        <w:lastRenderedPageBreak/>
        <w:t xml:space="preserve">ventricular-arterial coupling (Emax/Ea). The Fulton index was used to quantify RVH (RV/LV+septal weight). </w:t>
      </w:r>
    </w:p>
    <w:p w14:paraId="2A11A6A0" w14:textId="77777777" w:rsidR="00C86DC0" w:rsidRPr="00C86DC0" w:rsidRDefault="00F400C3" w:rsidP="00C86DC0">
      <w:pPr>
        <w:pStyle w:val="MDPI22heading2"/>
      </w:pPr>
      <w:r w:rsidRPr="00C86DC0">
        <w:rPr>
          <w:noProof w:val="0"/>
        </w:rPr>
        <w:t>I</w:t>
      </w:r>
      <w:r w:rsidR="00C86DC0" w:rsidRPr="00C86DC0">
        <w:t>mmunoblotting</w:t>
      </w:r>
    </w:p>
    <w:p w14:paraId="43FD19DC" w14:textId="31D3EC01" w:rsidR="00F400C3" w:rsidRPr="00C86DC0" w:rsidRDefault="00F400C3" w:rsidP="00C86DC0">
      <w:pPr>
        <w:pStyle w:val="MDPI31text"/>
        <w:rPr>
          <w:i/>
        </w:rPr>
      </w:pPr>
      <w:r w:rsidRPr="00C86DC0">
        <w:t>Proteins were extracted via cell lysis and 80 µg protein was loaded to SDS-PAGE gel for immunoblotting. Images were analyzed with ImageJ (National Institutes of Health, Bethesda, MD, USA). CD31 (ab64543) and CD68 (ab31630) antibodies where purchased from abcam (Cambridge, UK).</w:t>
      </w:r>
    </w:p>
    <w:p w14:paraId="641BA411" w14:textId="77777777" w:rsidR="00C86DC0" w:rsidRPr="00C86DC0" w:rsidRDefault="00F400C3" w:rsidP="00C86DC0">
      <w:pPr>
        <w:pStyle w:val="MDPI22heading2"/>
      </w:pPr>
      <w:r w:rsidRPr="00C86DC0">
        <w:rPr>
          <w:noProof w:val="0"/>
        </w:rPr>
        <w:t>H</w:t>
      </w:r>
      <w:r w:rsidR="00C86DC0" w:rsidRPr="00C86DC0">
        <w:t>istology</w:t>
      </w:r>
    </w:p>
    <w:p w14:paraId="5FD5D97F" w14:textId="39148ABF" w:rsidR="00F400C3" w:rsidRPr="00C86DC0" w:rsidRDefault="00F400C3" w:rsidP="00C86DC0">
      <w:pPr>
        <w:pStyle w:val="MDPI31text"/>
      </w:pPr>
      <w:r w:rsidRPr="00C86DC0">
        <w:t>Hearts were fixed in 10% buffered formalin. Picrosirius red staining was performed to assess collagen deposition. Staining was performed on 5 μm paraffin-embedded heart sections. Images were acquired with a Leica DM4000B LED microscope with a 20x objective (Leica Microsystems; Wetzlar, Germany). Picrosirius Red was quantified as previously published</w:t>
      </w:r>
      <w:r w:rsidRPr="00C86DC0">
        <w:fldChar w:fldCharType="begin" w:fldLock="1"/>
      </w:r>
      <w:r w:rsidRPr="00C86DC0">
        <w:instrText>ADDIN CSL_CITATION { "citationItems" : [ { "id" : "ITEM-1", "itemData" : { "DOI" : "10.1016/j.carpath.2010.01.011", "ISSN" : "1879-1336", "PMID" : "20185339", "abstract" : "BACKGROUND: Left ventricular assist devices unload the failing heart and improve hemodynamic function and tissue architecture. In some patients improvement allows for left ventricular assist device removal. We retrospectively compared histologic features in patients who were weaned off left ventricular assist device support with those who remained on support without evidence of clinical remission.\n\nMETHODS: We graded left ventricular core samples taken at implantation on a scale we designed for evaluating severity and extent of fibrosis and hypertrophy. We correlated the grades with a computerized semiquantitative analysis of picrosirius-red and Masson's trichrome-stained sections. We evaluated interstitial (10\u00d7), perivascular (20\u00d7), and replacement (4\u00d7) fibrosis. Hypertrophy was assessed by myocyte diameter, cytoplasmic area, and nuclear/cytoplasmic ratio.\n\nRESULTS: All patients (N=17) underwent left ventricular assist device implantation for heart failure. In eight patients improvement allowed left ventricular assist device removal. The groups did not differ in age (24.1 vs. 25 years, P=.4) or mean time on left ventricular assist device support (506 vs. 414 days, P=.24). All mean measures showed significantly less hypertrophy in the left ventricular assist device-removal group than in the nonremoval group, respectively (cytoplasmic area, 58.00 vs. 77.18 \u03bcm(2), P=.021; myocyte diameter, 20.32 vs. 25.35 \u03bcm, P=.004; nuclear/cytoplasmic ratio, 11.04 vs. 8.69, P=.053). Although not statistically significant, the left ventricular assist device-removal group tended toward less overall fibrosis than the nonremoval group (11.57 vs. 13.24, P=.214).\n\nCONCLUSIONS: Left ventricular assist device-removal patients had less hypertrophy and fibrosis overall than did nonremoval patients. These findings may help identify patients with a higher probability of left ventricular assist device removal and myocardial recovery.", "author" : [ { "dropping-particle" : "", "family" : "Segura", "given" : "Ana Maria", "non-dropping-particle" : "", "parse-names" : false, "suffix" : "" }, { "dropping-particle" : "", "family" : "Frazier", "given" : "O H", "non-dropping-particle" : "", "parse-names" : false, "suffix" : "" }, { "dropping-particle" : "", "family" : "Demirozu", "given" : "Zumrut", "non-dropping-particle" : "", "parse-names" : false, "suffix" : "" }, { "dropping-particle" : "", "family" : "Buja", "given" : "L Maximilian", "non-dropping-particle" : "", "parse-names" : false, "suffix" : "" } ], "container-title" : "Cardiovascular pathology : the official journal of the Society for Cardiovascular Pathology", "id" : "ITEM-1", "issue" : "3", "issued" : { "date-parts" : [ [ "0", "1" ] ] }, "page" : "139-45", "title" : "Histopathologic correlates of myocardial improvement in patients supported by a left ventricular assist device.", "type" : "article-journal", "volume" : "20" }, "uris" : [ "http://www.mendeley.com/documents/?uuid=30095243-fd1b-4ad1-8d0d-f3d90e671e67" ] } ], "mendeley" : { "formattedCitation" : "[76]", "plainTextFormattedCitation" : "[76]", "previouslyFormattedCitation" : "[71]" }, "properties" : { "noteIndex" : 0 }, "schema" : "https://github.com/citation-style-language/schema/raw/master/csl-citation.json" }</w:instrText>
      </w:r>
      <w:r w:rsidRPr="00C86DC0">
        <w:fldChar w:fldCharType="separate"/>
      </w:r>
      <w:r w:rsidRPr="00C86DC0">
        <w:t>[76]</w:t>
      </w:r>
      <w:r w:rsidRPr="00C86DC0">
        <w:fldChar w:fldCharType="end"/>
      </w:r>
      <w:r w:rsidRPr="00C86DC0">
        <w:t>.</w:t>
      </w:r>
    </w:p>
    <w:p w14:paraId="2AE230F1" w14:textId="77777777" w:rsidR="00C86DC0" w:rsidRPr="00C86DC0" w:rsidRDefault="00F400C3" w:rsidP="00C86DC0">
      <w:pPr>
        <w:pStyle w:val="MDPI22heading2"/>
      </w:pPr>
      <w:r w:rsidRPr="00C86DC0">
        <w:rPr>
          <w:noProof w:val="0"/>
        </w:rPr>
        <w:t>R</w:t>
      </w:r>
      <w:r w:rsidR="00C86DC0" w:rsidRPr="00C86DC0">
        <w:t>NA sequencing</w:t>
      </w:r>
    </w:p>
    <w:p w14:paraId="2A05CF67" w14:textId="133117D5" w:rsidR="00F400C3" w:rsidRPr="00C86DC0" w:rsidRDefault="00F400C3" w:rsidP="00C86DC0">
      <w:pPr>
        <w:pStyle w:val="MDPI31text"/>
      </w:pPr>
      <w:r w:rsidRPr="00C86DC0">
        <w:t xml:space="preserve">Right ventricles were dissected free from the LV and vasculature and ground with a mortar and pestle in liquid nitrogen. total RNA was extracted in TrIzol using Zymo DirectZol columns (Zymotech Inc, Austin TX, USA). Libraries were generated using an Illumina RiboGold ribodepletion and Truseq stranded LT library generation kit (Illumina Inc., San Diego, CA, USA), and sequenced using the Illumina NextSeq550 Sequencer (Illumina). The resulting .fastq files will be deposited to the Gene Expression Omnibus: GEO Accession: </w:t>
      </w:r>
      <w:r w:rsidR="00031565" w:rsidRPr="00031565">
        <w:t>GSE119754</w:t>
      </w:r>
      <w:r w:rsidR="00031565">
        <w:t>.</w:t>
      </w:r>
      <w:r w:rsidR="00031565" w:rsidRPr="00031565">
        <w:t xml:space="preserve"> </w:t>
      </w:r>
      <w:r w:rsidRPr="00C86DC0">
        <w:t>Raw reads were pre-processed using Cutadapt (a Python Command Line Tool, Dortmund, Germany), aligned using HISAT2 and assembled using StringTie (</w:t>
      </w:r>
      <w:hyperlink r:id="rId7" w:history="1">
        <w:r w:rsidRPr="00C86DC0">
          <w:rPr>
            <w:rStyle w:val="Hyperlink"/>
            <w:rFonts w:ascii="Arial" w:hAnsi="Arial" w:cs="Arial"/>
          </w:rPr>
          <w:t>http://ccb.jhu.edu/software.shtml</w:t>
        </w:r>
      </w:hyperlink>
      <w:r w:rsidRPr="00C86DC0">
        <w:t xml:space="preserve">). Raw count data was produced from the aligned reads using featureCounts (an R package, </w:t>
      </w:r>
      <w:hyperlink r:id="rId8" w:history="1">
        <w:r w:rsidRPr="00C86DC0">
          <w:rPr>
            <w:rStyle w:val="Hyperlink"/>
            <w:rFonts w:ascii="Arial" w:hAnsi="Arial" w:cs="Arial"/>
          </w:rPr>
          <w:t>http://bioinf.wehi.edu.au/featureCounts/</w:t>
        </w:r>
      </w:hyperlink>
      <w:r w:rsidRPr="00C86DC0">
        <w:t>), and then differential expression analysis using edgeR (</w:t>
      </w:r>
      <w:r w:rsidRPr="00C86DC0">
        <w:rPr>
          <w:i/>
        </w:rPr>
        <w:t>Empirical Analysis of Digital Gene Expression Data in R</w:t>
      </w:r>
      <w:r w:rsidRPr="00C86DC0">
        <w:t xml:space="preserve">, </w:t>
      </w:r>
      <w:hyperlink r:id="rId9" w:history="1">
        <w:r w:rsidRPr="00C86DC0">
          <w:rPr>
            <w:rStyle w:val="Hyperlink"/>
            <w:rFonts w:ascii="Arial" w:hAnsi="Arial" w:cs="Arial"/>
          </w:rPr>
          <w:t>https://bioconductor.org/packages/release/bioc/html/edgeR.html</w:t>
        </w:r>
      </w:hyperlink>
      <w:r w:rsidRPr="00C86DC0">
        <w:t>).</w:t>
      </w:r>
    </w:p>
    <w:p w14:paraId="3CA6B8B3" w14:textId="77777777" w:rsidR="00C86DC0" w:rsidRPr="00C86DC0" w:rsidRDefault="00F400C3" w:rsidP="00C86DC0">
      <w:pPr>
        <w:pStyle w:val="MDPI22heading2"/>
      </w:pPr>
      <w:bookmarkStart w:id="0" w:name="OLE_LINK1"/>
      <w:r w:rsidRPr="00C86DC0">
        <w:rPr>
          <w:noProof w:val="0"/>
        </w:rPr>
        <w:t>S</w:t>
      </w:r>
      <w:r w:rsidR="00C86DC0" w:rsidRPr="00C86DC0">
        <w:t>tatistical analysis</w:t>
      </w:r>
    </w:p>
    <w:p w14:paraId="3BF27C55" w14:textId="6AC5ADBA" w:rsidR="00F400C3" w:rsidRPr="00C86DC0" w:rsidRDefault="00F400C3" w:rsidP="00C86DC0">
      <w:pPr>
        <w:pStyle w:val="MDPI31text"/>
      </w:pPr>
      <w:r w:rsidRPr="00C86DC0">
        <w:t xml:space="preserve">All of the data are reported as mean ± SEM. Differences between groups were calculated using a two-tailed, Student’s t-test, corrected for multiple comparisons (Bonferroni). </w:t>
      </w:r>
      <w:bookmarkEnd w:id="0"/>
      <w:r w:rsidRPr="00C86DC0">
        <w:t>Statistical analyses were performed using GraphPad Prism 7.0d (GraphPad Software, La Jolla, CA, USA). A p-value &lt;0.05 was considered statistically significant. The methods for statistical filtering of RNAsequencing data are detailed in the Results section.</w:t>
      </w:r>
    </w:p>
    <w:p w14:paraId="6098A184" w14:textId="386C8013" w:rsidR="00F400C3" w:rsidRPr="00C86DC0" w:rsidRDefault="009B4BD4" w:rsidP="00C86DC0">
      <w:pPr>
        <w:pStyle w:val="MDPI21heading1"/>
      </w:pPr>
      <w:r>
        <w:t>Supplementary Tables Legends</w:t>
      </w:r>
    </w:p>
    <w:p w14:paraId="5A794095" w14:textId="2FE73CC7" w:rsidR="00F400C3" w:rsidRPr="00C86DC0" w:rsidRDefault="00F400C3" w:rsidP="00C86DC0">
      <w:pPr>
        <w:pStyle w:val="MDPI51figurecaption"/>
      </w:pPr>
      <w:r w:rsidRPr="00C86DC0">
        <w:rPr>
          <w:b/>
        </w:rPr>
        <w:t xml:space="preserve">Supplementary </w:t>
      </w:r>
      <w:r w:rsidR="009B4BD4">
        <w:rPr>
          <w:b/>
        </w:rPr>
        <w:t>Table</w:t>
      </w:r>
      <w:r w:rsidRPr="00C86DC0">
        <w:rPr>
          <w:b/>
        </w:rPr>
        <w:t xml:space="preserve"> 1: Gene List. </w:t>
      </w:r>
      <w:r w:rsidRPr="00C86DC0">
        <w:t>List of</w:t>
      </w:r>
      <w:r w:rsidRPr="00C86DC0">
        <w:rPr>
          <w:b/>
        </w:rPr>
        <w:t xml:space="preserve"> </w:t>
      </w:r>
      <w:r w:rsidRPr="00C86DC0">
        <w:t>2,546 transcripts that were significantly and differentially regulated in the rat RV as a consequence of MCT treatment. Data is annotated to include Ensemble ID, Gene symbol, log Fold change, Absolute fold change and direction, log CPM (log counts per million, a proxy for expression), p-value and corrected p-value (FDR). This dataset also includes columns that indicate whether each gene is functionally classed as Angiogenesis, Fibroblast, Mitochondria/Metabolic or Inflammation. Data is also presented for the mouse RV and the human RV; this data is not filtered with respect to p-value at this stage.</w:t>
      </w:r>
    </w:p>
    <w:p w14:paraId="78AF8917" w14:textId="4C1FC572" w:rsidR="00F400C3" w:rsidRPr="00C86DC0" w:rsidRDefault="00F400C3" w:rsidP="00C86DC0">
      <w:pPr>
        <w:pStyle w:val="MDPI51figurecaption"/>
      </w:pPr>
      <w:r w:rsidRPr="00C86DC0">
        <w:rPr>
          <w:b/>
        </w:rPr>
        <w:t xml:space="preserve">Supplementary </w:t>
      </w:r>
      <w:r w:rsidR="009B4BD4">
        <w:rPr>
          <w:b/>
        </w:rPr>
        <w:t>Table</w:t>
      </w:r>
      <w:r w:rsidRPr="00C86DC0">
        <w:rPr>
          <w:b/>
        </w:rPr>
        <w:t xml:space="preserve"> 2: Functional Analysis. </w:t>
      </w:r>
      <w:r w:rsidRPr="00C86DC0">
        <w:t>Raw result from the Database for Annotation, Visualization and Integrated Discovery (</w:t>
      </w:r>
      <w:r w:rsidRPr="00C86DC0">
        <w:rPr>
          <w:bCs/>
        </w:rPr>
        <w:t>DAVID)</w:t>
      </w:r>
      <w:r w:rsidRPr="00C86DC0">
        <w:fldChar w:fldCharType="begin" w:fldLock="1"/>
      </w:r>
      <w:r w:rsidRPr="00C86DC0">
        <w:instrText>ADDIN CSL_CITATION { "citationItems" : [ { "id" : "ITEM-1", "itemData" : { "DOI" : "10.1038/nprot.2008.211", "ISSN" : "1754-2189", "PMID" : "19131956", "abstract" : "DAVID bioinformatics resources consists of an integrated biological knowledgebase and analytic tools aimed at systematically extracting biological meaning from large gene/protein lists. This protocol explains how to use DAVID, a high-throughput and integrated data-mining environment, to analyze gene lists derived from high-throughput genomic experiments. The procedure first requires uploading a gene list containing any number of common gene identifiers followed by analysis using one or more text and pathway-mining tools such as gene functional classification, functional annotation chart or clustering and functional annotation table. By following this protocol, investigators are able to gain an in-depth understanding of the biological themes in lists of genes that are enriched in genome-scale studies.", "author" : [ { "dropping-particle" : "", "family" : "Huang", "given" : "Da Wei", "non-dropping-particle" : "", "parse-names" : false, "suffix" : "" }, { "dropping-particle" : "", "family" : "Sherman", "given" : "Brad T", "non-dropping-particle" : "", "parse-names" : false, "suffix" : "" }, { "dropping-particle" : "", "family" : "Lempicki", "given" : "Richard A", "non-dropping-particle" : "", "parse-names" : false, "suffix" : "" } ], "container-title" : "Nature Protocols", "id" : "ITEM-1", "issue" : "1", "issued" : { "date-parts" : [ [ "2009", "1", "1" ] ] }, "page" : "44-57", "title" : "Systematic and integrative analysis of large gene lists using DAVID bioinformatics resources", "type" : "article-journal", "volume" : "4" }, "uris" : [ "http://www.mendeley.com/documents/?uuid=a55c1110-2171-3e2e-aec4-09208744e63a" ] } ], "mendeley" : { "formattedCitation" : "[30]", "plainTextFormattedCitation" : "[30]", "previouslyFormattedCitation" : "[30]" }, "properties" : { "noteIndex" : 0 }, "schema" : "https://github.com/citation-style-language/schema/raw/master/csl-citation.json" }</w:instrText>
      </w:r>
      <w:r w:rsidRPr="00C86DC0">
        <w:fldChar w:fldCharType="separate"/>
      </w:r>
      <w:r w:rsidRPr="00C86DC0">
        <w:t>[30]</w:t>
      </w:r>
      <w:r w:rsidRPr="00C86DC0">
        <w:fldChar w:fldCharType="end"/>
      </w:r>
      <w:r w:rsidRPr="00C86DC0">
        <w:t xml:space="preserve"> analysis. This data is presented as category (for example, GOTERM, UP_KEYWORD, KEGG PATHWAY), the Term that describes the data (e.g. GO:0005739~mitochonrion), the count of how many genes are captured in each Term, the % of total genes in the list, Ensemble IDs of genes, Fold enrichment of term, and multiple test corrected p values using Benamini. </w:t>
      </w:r>
      <w:r w:rsidR="00C86DC0">
        <w:t>.</w:t>
      </w:r>
    </w:p>
    <w:p w14:paraId="012B25F4" w14:textId="7ADB59C4" w:rsidR="00F400C3" w:rsidRPr="00C86DC0" w:rsidRDefault="00F400C3" w:rsidP="00C86DC0">
      <w:pPr>
        <w:pStyle w:val="MDPI51figurecaption"/>
      </w:pPr>
      <w:r w:rsidRPr="00C86DC0">
        <w:rPr>
          <w:b/>
        </w:rPr>
        <w:lastRenderedPageBreak/>
        <w:t xml:space="preserve">Supplementary </w:t>
      </w:r>
      <w:r w:rsidR="009B4BD4">
        <w:rPr>
          <w:b/>
        </w:rPr>
        <w:t>Table</w:t>
      </w:r>
      <w:r w:rsidR="009B4BD4">
        <w:rPr>
          <w:b/>
        </w:rPr>
        <w:t xml:space="preserve"> 3: </w:t>
      </w:r>
      <w:r w:rsidRPr="00C86DC0">
        <w:rPr>
          <w:b/>
        </w:rPr>
        <w:t xml:space="preserve">Filtered Functional Analysis. </w:t>
      </w:r>
      <w:r w:rsidRPr="00C86DC0">
        <w:t>Table of ‘Terms’ that we assigned as either Mitochondrial/Metabolic, Fibrosis or Inflammation.</w:t>
      </w:r>
    </w:p>
    <w:p w14:paraId="6F5BB903" w14:textId="0CBB0A59" w:rsidR="00F400C3" w:rsidRPr="00C86DC0" w:rsidRDefault="00F400C3" w:rsidP="00C86DC0">
      <w:pPr>
        <w:pStyle w:val="MDPI51figurecaption"/>
      </w:pPr>
      <w:r w:rsidRPr="00C86DC0">
        <w:rPr>
          <w:b/>
        </w:rPr>
        <w:t xml:space="preserve">Supplementary </w:t>
      </w:r>
      <w:r w:rsidR="009B4BD4">
        <w:rPr>
          <w:b/>
        </w:rPr>
        <w:t>Table</w:t>
      </w:r>
      <w:r w:rsidR="009B4BD4">
        <w:rPr>
          <w:b/>
        </w:rPr>
        <w:t xml:space="preserve"> 4: </w:t>
      </w:r>
      <w:r w:rsidRPr="00C86DC0">
        <w:rPr>
          <w:b/>
        </w:rPr>
        <w:t xml:space="preserve">Angiogenesis - GO 0001525. </w:t>
      </w:r>
      <w:r w:rsidRPr="00C86DC0">
        <w:t>List of targets that belong to the functional group for Angiogenesis.</w:t>
      </w:r>
    </w:p>
    <w:p w14:paraId="2CD58AD9" w14:textId="5A6AEA6F" w:rsidR="00F400C3" w:rsidRPr="00C86DC0" w:rsidRDefault="00F400C3" w:rsidP="00C86DC0">
      <w:pPr>
        <w:pStyle w:val="MDPI51figurecaption"/>
      </w:pPr>
      <w:r w:rsidRPr="00C86DC0">
        <w:rPr>
          <w:b/>
        </w:rPr>
        <w:t xml:space="preserve">Supplementary </w:t>
      </w:r>
      <w:r w:rsidR="009B4BD4">
        <w:rPr>
          <w:b/>
        </w:rPr>
        <w:t>Table</w:t>
      </w:r>
      <w:r w:rsidRPr="00C86DC0">
        <w:rPr>
          <w:b/>
        </w:rPr>
        <w:t xml:space="preserve"> 5: Mouse Array. </w:t>
      </w:r>
      <w:r w:rsidRPr="00C86DC0">
        <w:t>Data obtained as the result of analysis performed on the mouse data (Accession: GSE30428).</w:t>
      </w:r>
    </w:p>
    <w:p w14:paraId="173C7549" w14:textId="584C5E46" w:rsidR="00F400C3" w:rsidRPr="00C86DC0" w:rsidRDefault="00F400C3" w:rsidP="00C86DC0">
      <w:pPr>
        <w:pStyle w:val="MDPI51figurecaption"/>
      </w:pPr>
      <w:r w:rsidRPr="00C86DC0">
        <w:rPr>
          <w:b/>
        </w:rPr>
        <w:t xml:space="preserve">Supplementary </w:t>
      </w:r>
      <w:r w:rsidR="009B4BD4">
        <w:rPr>
          <w:b/>
        </w:rPr>
        <w:t>Table</w:t>
      </w:r>
      <w:r w:rsidRPr="00C86DC0">
        <w:rPr>
          <w:b/>
        </w:rPr>
        <w:t xml:space="preserve"> 6: Human Array. </w:t>
      </w:r>
      <w:r w:rsidRPr="00C86DC0">
        <w:t>Data obtained as the result of analysis performed on the human data (Accession: GSE67492).</w:t>
      </w:r>
    </w:p>
    <w:p w14:paraId="056C2BD1" w14:textId="4189C9B8" w:rsidR="00F400C3" w:rsidRPr="00C86DC0" w:rsidRDefault="00F400C3" w:rsidP="00C86DC0">
      <w:pPr>
        <w:pStyle w:val="MDPI51figurecaption"/>
      </w:pPr>
      <w:r w:rsidRPr="00C86DC0">
        <w:rPr>
          <w:b/>
        </w:rPr>
        <w:t xml:space="preserve">Supplementary </w:t>
      </w:r>
      <w:r w:rsidR="009B4BD4">
        <w:rPr>
          <w:b/>
        </w:rPr>
        <w:t>Table</w:t>
      </w:r>
      <w:r w:rsidRPr="00C86DC0">
        <w:rPr>
          <w:b/>
        </w:rPr>
        <w:t xml:space="preserve"> 7: Common Rat-Mouse RV.</w:t>
      </w:r>
      <w:r w:rsidRPr="00C86DC0">
        <w:t xml:space="preserve"> Genes that are commonly expressed in the rat MCT RV and the mouse PAB RV (significance cut-off p&lt;0.1 for mouse data)</w:t>
      </w:r>
      <w:r w:rsidR="00C86DC0">
        <w:t>.</w:t>
      </w:r>
    </w:p>
    <w:p w14:paraId="21D9B08B" w14:textId="20550286" w:rsidR="00F400C3" w:rsidRPr="00C86DC0" w:rsidRDefault="00F400C3" w:rsidP="00C86DC0">
      <w:pPr>
        <w:pStyle w:val="MDPI51figurecaption"/>
      </w:pPr>
      <w:r w:rsidRPr="00C86DC0">
        <w:rPr>
          <w:b/>
        </w:rPr>
        <w:t xml:space="preserve">Supplementary </w:t>
      </w:r>
      <w:r w:rsidR="009B4BD4">
        <w:rPr>
          <w:b/>
        </w:rPr>
        <w:t>Table</w:t>
      </w:r>
      <w:r w:rsidRPr="00C86DC0">
        <w:rPr>
          <w:b/>
        </w:rPr>
        <w:t xml:space="preserve"> 8: Common Rat-Human RV. </w:t>
      </w:r>
      <w:r w:rsidRPr="00C86DC0">
        <w:t>Genes that are commonly expressed in the rat MCT RV and the human BMPR2 RV (significance cut-off p&lt;0.1 for human data).</w:t>
      </w:r>
    </w:p>
    <w:p w14:paraId="37568024" w14:textId="768DCE14" w:rsidR="00F400C3" w:rsidRPr="00C86DC0" w:rsidRDefault="00F400C3" w:rsidP="00C86DC0">
      <w:pPr>
        <w:pStyle w:val="MDPI51figurecaption"/>
      </w:pPr>
      <w:r w:rsidRPr="00C86DC0">
        <w:rPr>
          <w:b/>
        </w:rPr>
        <w:t xml:space="preserve">Supplementary </w:t>
      </w:r>
      <w:r w:rsidR="009B4BD4">
        <w:rPr>
          <w:b/>
        </w:rPr>
        <w:t>Table</w:t>
      </w:r>
      <w:r w:rsidRPr="00C86DC0">
        <w:rPr>
          <w:b/>
        </w:rPr>
        <w:t xml:space="preserve"> 9: Common Rat-Mouse-Human RV. </w:t>
      </w:r>
      <w:r w:rsidRPr="00C86DC0">
        <w:t>Genes that are commonly expressed in the rat MCT RV, the mouse PAB RV and the human BMPR2 RV (significance cut-off p&lt;0.1 for mouse and human data).</w:t>
      </w:r>
    </w:p>
    <w:p w14:paraId="0C7EAF09" w14:textId="496BA060" w:rsidR="00F400C3" w:rsidRPr="00C86DC0" w:rsidRDefault="00F400C3" w:rsidP="00C86DC0">
      <w:pPr>
        <w:pStyle w:val="MDPI51figurecaption"/>
      </w:pPr>
      <w:r w:rsidRPr="00C86DC0">
        <w:rPr>
          <w:b/>
        </w:rPr>
        <w:t xml:space="preserve">Supplementary </w:t>
      </w:r>
      <w:r w:rsidR="009B4BD4">
        <w:rPr>
          <w:b/>
        </w:rPr>
        <w:t>Table</w:t>
      </w:r>
      <w:r w:rsidRPr="00C86DC0">
        <w:rPr>
          <w:b/>
        </w:rPr>
        <w:t xml:space="preserve"> 10: Fibroblasts.</w:t>
      </w:r>
      <w:r w:rsidRPr="00C86DC0">
        <w:t xml:space="preserve"> List of genes that are common to rat MCT RV, mouse PAB RV and human BMPR2 RV that are functionally defined as ‘Fibroblast’ (significance cut-off p&lt;0.1 for mouse and human data).</w:t>
      </w:r>
    </w:p>
    <w:p w14:paraId="730DAA75" w14:textId="771A66BB" w:rsidR="00F400C3" w:rsidRPr="00C86DC0" w:rsidRDefault="00F400C3" w:rsidP="00C86DC0">
      <w:pPr>
        <w:pStyle w:val="MDPI51figurecaption"/>
      </w:pPr>
      <w:r w:rsidRPr="00C86DC0">
        <w:rPr>
          <w:b/>
        </w:rPr>
        <w:t xml:space="preserve">Supplementary </w:t>
      </w:r>
      <w:r w:rsidR="009B4BD4">
        <w:rPr>
          <w:b/>
        </w:rPr>
        <w:t>Table</w:t>
      </w:r>
      <w:r w:rsidRPr="00C86DC0">
        <w:rPr>
          <w:b/>
        </w:rPr>
        <w:t xml:space="preserve"> 11: Mitochondria Metabolic.</w:t>
      </w:r>
      <w:r w:rsidRPr="00C86DC0">
        <w:t xml:space="preserve"> List of genes that are common to rat MCT RV, mouse PAB RV and human BMPR2 RV that are functionally defined as ‘Mitochondria Metabolic’ (significance cut-off p&lt;0.1 for mouse and human data).</w:t>
      </w:r>
    </w:p>
    <w:p w14:paraId="3E4D2347" w14:textId="2955C65D" w:rsidR="00F400C3" w:rsidRPr="00C86DC0" w:rsidRDefault="00F400C3" w:rsidP="00C86DC0">
      <w:pPr>
        <w:pStyle w:val="MDPI51figurecaption"/>
      </w:pPr>
      <w:r w:rsidRPr="00C86DC0">
        <w:rPr>
          <w:b/>
        </w:rPr>
        <w:t xml:space="preserve">Supplementary </w:t>
      </w:r>
      <w:r w:rsidR="009B4BD4">
        <w:rPr>
          <w:b/>
        </w:rPr>
        <w:t>Table</w:t>
      </w:r>
      <w:r w:rsidRPr="00C86DC0">
        <w:rPr>
          <w:b/>
        </w:rPr>
        <w:t xml:space="preserve"> 12: Inflammation.</w:t>
      </w:r>
      <w:r w:rsidRPr="00C86DC0">
        <w:t xml:space="preserve"> List of genes that are common to rat MCT RV, mouse PAB RV and human BMPR2 RV that are functionally defined as ‘Inflammation’ (significance cut-off p&lt;0.1 for mouse and human data).</w:t>
      </w:r>
    </w:p>
    <w:p w14:paraId="22F2E159" w14:textId="6EC66C19" w:rsidR="00D705AF" w:rsidRPr="00C86DC0" w:rsidRDefault="00F400C3" w:rsidP="00C86DC0">
      <w:pPr>
        <w:pStyle w:val="MDPI51figurecaption"/>
      </w:pPr>
      <w:r w:rsidRPr="00C86DC0">
        <w:rPr>
          <w:b/>
        </w:rPr>
        <w:t xml:space="preserve">Supplementary </w:t>
      </w:r>
      <w:r w:rsidR="009B4BD4">
        <w:rPr>
          <w:b/>
        </w:rPr>
        <w:t>Table</w:t>
      </w:r>
      <w:bookmarkStart w:id="1" w:name="_GoBack"/>
      <w:bookmarkEnd w:id="1"/>
      <w:r w:rsidRPr="00C86DC0">
        <w:rPr>
          <w:b/>
        </w:rPr>
        <w:t xml:space="preserve"> 13: Angiogenesis.</w:t>
      </w:r>
      <w:r w:rsidRPr="00C86DC0">
        <w:t xml:space="preserve"> List of genes that are common to rat MCT RV, mouse PAB RV and human BMPR2 RV that are functionally defined as ‘Angiogenesis’ (significance cut-off p&lt;0.1 for mouse and human data).</w:t>
      </w:r>
    </w:p>
    <w:sectPr w:rsidR="00D705AF" w:rsidRPr="00C86DC0" w:rsidSect="00C86DC0">
      <w:type w:val="continuous"/>
      <w:pgSz w:w="11909" w:h="16834"/>
      <w:pgMar w:top="1417" w:right="1531" w:bottom="1077" w:left="1531" w:header="1020"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CB716" w14:textId="77777777" w:rsidR="00375266" w:rsidRDefault="00375266" w:rsidP="00C86DC0">
      <w:r>
        <w:separator/>
      </w:r>
    </w:p>
  </w:endnote>
  <w:endnote w:type="continuationSeparator" w:id="0">
    <w:p w14:paraId="5298ED8C" w14:textId="77777777" w:rsidR="00375266" w:rsidRDefault="00375266" w:rsidP="00C86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rial Hebrew">
    <w:altName w:val="Times New Roman"/>
    <w:charset w:val="B1"/>
    <w:family w:val="auto"/>
    <w:pitch w:val="variable"/>
    <w:sig w:usb0="00000000" w:usb1="40000002" w:usb2="00000000" w:usb3="00000000" w:csb0="0000002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CC12D2" w14:textId="77777777" w:rsidR="00375266" w:rsidRDefault="00375266" w:rsidP="00C86DC0">
      <w:r>
        <w:separator/>
      </w:r>
    </w:p>
  </w:footnote>
  <w:footnote w:type="continuationSeparator" w:id="0">
    <w:p w14:paraId="5D9429E9" w14:textId="77777777" w:rsidR="00375266" w:rsidRDefault="00375266" w:rsidP="00C86D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A245F"/>
    <w:multiLevelType w:val="hybridMultilevel"/>
    <w:tmpl w:val="4ABC6C08"/>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ACEC86EA"/>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67DCF21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0C3"/>
    <w:rsid w:val="00031565"/>
    <w:rsid w:val="0022576B"/>
    <w:rsid w:val="0037478C"/>
    <w:rsid w:val="00375266"/>
    <w:rsid w:val="003943E0"/>
    <w:rsid w:val="00567598"/>
    <w:rsid w:val="007A32DD"/>
    <w:rsid w:val="008C2C90"/>
    <w:rsid w:val="00995FBF"/>
    <w:rsid w:val="009B4BD4"/>
    <w:rsid w:val="00A85536"/>
    <w:rsid w:val="00B157D3"/>
    <w:rsid w:val="00C86DC0"/>
    <w:rsid w:val="00CA683D"/>
    <w:rsid w:val="00D3721C"/>
    <w:rsid w:val="00D660AA"/>
    <w:rsid w:val="00EB6D68"/>
    <w:rsid w:val="00F400C3"/>
    <w:rsid w:val="00FC77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700638"/>
  <w14:defaultImageDpi w14:val="32767"/>
  <w15:chartTrackingRefBased/>
  <w15:docId w15:val="{7F6C91D8-6124-A844-BA68-7C55F821A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00C3"/>
    <w:rPr>
      <w:rFonts w:ascii="Times New Roman" w:eastAsia="Times New Roman" w:hAnsi="Times New Roman" w:cs="Times New Roman"/>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00C3"/>
    <w:rPr>
      <w:color w:val="0000FF"/>
      <w:u w:val="single"/>
    </w:rPr>
  </w:style>
  <w:style w:type="character" w:styleId="FootnoteReference">
    <w:name w:val="footnote reference"/>
    <w:basedOn w:val="DefaultParagraphFont"/>
    <w:uiPriority w:val="99"/>
    <w:semiHidden/>
    <w:unhideWhenUsed/>
    <w:rsid w:val="00F400C3"/>
    <w:rPr>
      <w:vertAlign w:val="superscript"/>
    </w:rPr>
  </w:style>
  <w:style w:type="paragraph" w:styleId="Header">
    <w:name w:val="header"/>
    <w:basedOn w:val="Normal"/>
    <w:link w:val="HeaderChar"/>
    <w:uiPriority w:val="99"/>
    <w:unhideWhenUsed/>
    <w:rsid w:val="00C86DC0"/>
    <w:pPr>
      <w:tabs>
        <w:tab w:val="center" w:pos="4320"/>
        <w:tab w:val="right" w:pos="8640"/>
      </w:tabs>
    </w:pPr>
  </w:style>
  <w:style w:type="character" w:customStyle="1" w:styleId="HeaderChar">
    <w:name w:val="Header Char"/>
    <w:basedOn w:val="DefaultParagraphFont"/>
    <w:link w:val="Header"/>
    <w:uiPriority w:val="99"/>
    <w:rsid w:val="00C86DC0"/>
    <w:rPr>
      <w:rFonts w:ascii="Times New Roman" w:eastAsia="Times New Roman" w:hAnsi="Times New Roman" w:cs="Times New Roman"/>
      <w:lang w:val="en-CA"/>
    </w:rPr>
  </w:style>
  <w:style w:type="paragraph" w:styleId="Footer">
    <w:name w:val="footer"/>
    <w:basedOn w:val="Normal"/>
    <w:link w:val="FooterChar"/>
    <w:uiPriority w:val="99"/>
    <w:unhideWhenUsed/>
    <w:rsid w:val="00C86DC0"/>
    <w:pPr>
      <w:tabs>
        <w:tab w:val="center" w:pos="4320"/>
        <w:tab w:val="right" w:pos="8640"/>
      </w:tabs>
    </w:pPr>
  </w:style>
  <w:style w:type="character" w:customStyle="1" w:styleId="FooterChar">
    <w:name w:val="Footer Char"/>
    <w:basedOn w:val="DefaultParagraphFont"/>
    <w:link w:val="Footer"/>
    <w:uiPriority w:val="99"/>
    <w:rsid w:val="00C86DC0"/>
    <w:rPr>
      <w:rFonts w:ascii="Times New Roman" w:eastAsia="Times New Roman" w:hAnsi="Times New Roman" w:cs="Times New Roman"/>
      <w:lang w:val="en-CA"/>
    </w:rPr>
  </w:style>
  <w:style w:type="paragraph" w:customStyle="1" w:styleId="MDPI11articletype">
    <w:name w:val="MDPI_1.1_article_type"/>
    <w:basedOn w:val="MDPI31text"/>
    <w:next w:val="MDPI12title"/>
    <w:qFormat/>
    <w:rsid w:val="00C86DC0"/>
    <w:pPr>
      <w:spacing w:before="240" w:line="240" w:lineRule="auto"/>
      <w:ind w:firstLine="0"/>
      <w:jc w:val="left"/>
    </w:pPr>
    <w:rPr>
      <w:i/>
    </w:rPr>
  </w:style>
  <w:style w:type="paragraph" w:customStyle="1" w:styleId="MDPI12title">
    <w:name w:val="MDPI_1.2_title"/>
    <w:next w:val="MDPI13authornames"/>
    <w:qFormat/>
    <w:rsid w:val="00C86DC0"/>
    <w:pPr>
      <w:adjustRightInd w:val="0"/>
      <w:snapToGrid w:val="0"/>
      <w:spacing w:after="240" w:line="240" w:lineRule="atLeast"/>
      <w:jc w:val="both"/>
    </w:pPr>
    <w:rPr>
      <w:rFonts w:ascii="Palatino Linotype" w:eastAsia="Times New Roman" w:hAnsi="Palatino Linotype" w:cs="Times New Roman"/>
      <w:b/>
      <w:snapToGrid w:val="0"/>
      <w:color w:val="000000"/>
      <w:sz w:val="36"/>
      <w:szCs w:val="20"/>
      <w:lang w:eastAsia="de-DE" w:bidi="en-US"/>
    </w:rPr>
  </w:style>
  <w:style w:type="paragraph" w:customStyle="1" w:styleId="MDPI13authornames">
    <w:name w:val="MDPI_1.3_authornames"/>
    <w:basedOn w:val="MDPI31text"/>
    <w:next w:val="MDPI14history"/>
    <w:qFormat/>
    <w:rsid w:val="00C86DC0"/>
    <w:pPr>
      <w:spacing w:after="120"/>
      <w:ind w:firstLine="0"/>
      <w:jc w:val="left"/>
    </w:pPr>
    <w:rPr>
      <w:b/>
      <w:snapToGrid/>
    </w:rPr>
  </w:style>
  <w:style w:type="paragraph" w:customStyle="1" w:styleId="MDPI14history">
    <w:name w:val="MDPI_1.4_history"/>
    <w:basedOn w:val="MDPI62Acknowledgments"/>
    <w:next w:val="MDPI15academiceditor"/>
    <w:qFormat/>
    <w:rsid w:val="00C86DC0"/>
    <w:pPr>
      <w:ind w:left="113"/>
      <w:jc w:val="left"/>
    </w:pPr>
    <w:rPr>
      <w:snapToGrid/>
      <w:sz w:val="18"/>
    </w:rPr>
  </w:style>
  <w:style w:type="paragraph" w:customStyle="1" w:styleId="MDPI15academiceditor">
    <w:name w:val="MDPI_1.5_academic_editor"/>
    <w:basedOn w:val="MDPI62Acknowledgments"/>
    <w:qFormat/>
    <w:rsid w:val="00C86DC0"/>
    <w:pPr>
      <w:ind w:left="113"/>
      <w:jc w:val="left"/>
    </w:pPr>
    <w:rPr>
      <w:snapToGrid/>
      <w:szCs w:val="22"/>
    </w:rPr>
  </w:style>
  <w:style w:type="paragraph" w:customStyle="1" w:styleId="MDPI16affiliation">
    <w:name w:val="MDPI_1.6_affiliation"/>
    <w:basedOn w:val="MDPI62Acknowledgments"/>
    <w:qFormat/>
    <w:rsid w:val="00C86DC0"/>
    <w:pPr>
      <w:spacing w:before="0"/>
      <w:ind w:left="311" w:hanging="198"/>
      <w:jc w:val="left"/>
    </w:pPr>
    <w:rPr>
      <w:snapToGrid/>
      <w:sz w:val="18"/>
      <w:szCs w:val="18"/>
    </w:rPr>
  </w:style>
  <w:style w:type="paragraph" w:customStyle="1" w:styleId="MDPI17abstract">
    <w:name w:val="MDPI_1.7_abstract"/>
    <w:basedOn w:val="MDPI31text"/>
    <w:next w:val="MDPI18keywords"/>
    <w:qFormat/>
    <w:rsid w:val="00C86DC0"/>
    <w:pPr>
      <w:spacing w:before="240"/>
      <w:ind w:left="113" w:firstLine="0"/>
    </w:pPr>
    <w:rPr>
      <w:snapToGrid/>
    </w:rPr>
  </w:style>
  <w:style w:type="paragraph" w:customStyle="1" w:styleId="MDPI18keywords">
    <w:name w:val="MDPI_1.8_keywords"/>
    <w:basedOn w:val="MDPI31text"/>
    <w:next w:val="MDPI19classification"/>
    <w:qFormat/>
    <w:rsid w:val="00C86DC0"/>
    <w:pPr>
      <w:spacing w:before="240"/>
      <w:ind w:left="113" w:firstLine="0"/>
    </w:pPr>
  </w:style>
  <w:style w:type="paragraph" w:customStyle="1" w:styleId="MDPI19classification">
    <w:name w:val="MDPI_1.9_classification"/>
    <w:basedOn w:val="MDPI31text"/>
    <w:qFormat/>
    <w:rsid w:val="00C86DC0"/>
    <w:pPr>
      <w:spacing w:before="240"/>
      <w:ind w:left="113" w:firstLine="0"/>
    </w:pPr>
    <w:rPr>
      <w:b/>
      <w:snapToGrid/>
    </w:rPr>
  </w:style>
  <w:style w:type="paragraph" w:customStyle="1" w:styleId="MDPI19line">
    <w:name w:val="MDPI_1.9_line"/>
    <w:basedOn w:val="MDPI31text"/>
    <w:qFormat/>
    <w:rsid w:val="00C86DC0"/>
    <w:pPr>
      <w:pBdr>
        <w:bottom w:val="single" w:sz="6" w:space="1" w:color="auto"/>
      </w:pBdr>
      <w:ind w:firstLine="0"/>
    </w:pPr>
    <w:rPr>
      <w:rFonts w:cstheme="minorBidi"/>
      <w:snapToGrid/>
      <w:szCs w:val="24"/>
    </w:rPr>
  </w:style>
  <w:style w:type="paragraph" w:customStyle="1" w:styleId="MDPI21heading1">
    <w:name w:val="MDPI_2.1_heading1"/>
    <w:basedOn w:val="MDPI23heading3"/>
    <w:qFormat/>
    <w:rsid w:val="00C86DC0"/>
    <w:pPr>
      <w:outlineLvl w:val="0"/>
    </w:pPr>
    <w:rPr>
      <w:b/>
    </w:rPr>
  </w:style>
  <w:style w:type="paragraph" w:customStyle="1" w:styleId="MDPI22heading2">
    <w:name w:val="MDPI_2.2_heading2"/>
    <w:basedOn w:val="MDPItext"/>
    <w:qFormat/>
    <w:rsid w:val="00C86DC0"/>
    <w:pPr>
      <w:spacing w:before="240" w:after="120" w:line="260" w:lineRule="atLeast"/>
      <w:ind w:left="0" w:right="0" w:firstLine="0"/>
      <w:jc w:val="left"/>
      <w:outlineLvl w:val="1"/>
    </w:pPr>
    <w:rPr>
      <w:rFonts w:ascii="Palatino Linotype" w:hAnsi="Palatino Linotype"/>
      <w:i/>
      <w:sz w:val="20"/>
    </w:rPr>
  </w:style>
  <w:style w:type="paragraph" w:customStyle="1" w:styleId="MDPI23heading3">
    <w:name w:val="MDPI_2.3_heading3"/>
    <w:basedOn w:val="MDPI31text"/>
    <w:qFormat/>
    <w:rsid w:val="00C86DC0"/>
    <w:pPr>
      <w:spacing w:before="240" w:after="120"/>
      <w:ind w:firstLine="0"/>
      <w:jc w:val="left"/>
      <w:outlineLvl w:val="2"/>
    </w:pPr>
  </w:style>
  <w:style w:type="paragraph" w:customStyle="1" w:styleId="MDPI31text">
    <w:name w:val="MDPI_3.1_text"/>
    <w:qFormat/>
    <w:rsid w:val="00C86DC0"/>
    <w:pPr>
      <w:adjustRightInd w:val="0"/>
      <w:snapToGrid w:val="0"/>
      <w:spacing w:line="260" w:lineRule="atLeast"/>
      <w:ind w:firstLine="425"/>
      <w:jc w:val="both"/>
    </w:pPr>
    <w:rPr>
      <w:rFonts w:ascii="Palatino Linotype" w:eastAsia="Times New Roman" w:hAnsi="Palatino Linotype" w:cs="Times New Roman"/>
      <w:snapToGrid w:val="0"/>
      <w:color w:val="000000"/>
      <w:sz w:val="20"/>
      <w:szCs w:val="22"/>
      <w:lang w:eastAsia="de-DE" w:bidi="en-US"/>
    </w:rPr>
  </w:style>
  <w:style w:type="paragraph" w:customStyle="1" w:styleId="MDPI32textnoindent">
    <w:name w:val="MDPI_3.2_text_no_indent"/>
    <w:basedOn w:val="MDPI31text"/>
    <w:qFormat/>
    <w:rsid w:val="00C86DC0"/>
    <w:pPr>
      <w:ind w:firstLine="0"/>
    </w:pPr>
  </w:style>
  <w:style w:type="paragraph" w:customStyle="1" w:styleId="MDPI33textspaceafter">
    <w:name w:val="MDPI_3.3_text_space_after"/>
    <w:basedOn w:val="MDPI31text"/>
    <w:qFormat/>
    <w:rsid w:val="00C86DC0"/>
    <w:pPr>
      <w:spacing w:after="240"/>
    </w:pPr>
  </w:style>
  <w:style w:type="paragraph" w:customStyle="1" w:styleId="MDPI34textspacebefore">
    <w:name w:val="MDPI_3.4_text_space_before"/>
    <w:basedOn w:val="MDPI31text"/>
    <w:qFormat/>
    <w:rsid w:val="00C86DC0"/>
    <w:pPr>
      <w:spacing w:before="240"/>
    </w:pPr>
  </w:style>
  <w:style w:type="paragraph" w:customStyle="1" w:styleId="MDPI35textbeforelist">
    <w:name w:val="MDPI_3.5_text_before_list"/>
    <w:basedOn w:val="MDPI31text"/>
    <w:qFormat/>
    <w:rsid w:val="00C86DC0"/>
    <w:pPr>
      <w:spacing w:after="120"/>
    </w:pPr>
  </w:style>
  <w:style w:type="paragraph" w:customStyle="1" w:styleId="MDPI36textafterlist">
    <w:name w:val="MDPI_3.6_text_after_list"/>
    <w:basedOn w:val="MDPI31text"/>
    <w:qFormat/>
    <w:rsid w:val="00C86DC0"/>
    <w:pPr>
      <w:spacing w:before="120"/>
    </w:pPr>
  </w:style>
  <w:style w:type="paragraph" w:customStyle="1" w:styleId="MDPI37itemize">
    <w:name w:val="MDPI_3.7_itemize"/>
    <w:basedOn w:val="MDPI31text"/>
    <w:qFormat/>
    <w:rsid w:val="00C86DC0"/>
    <w:pPr>
      <w:numPr>
        <w:numId w:val="4"/>
      </w:numPr>
    </w:pPr>
  </w:style>
  <w:style w:type="paragraph" w:customStyle="1" w:styleId="MDPI38bullet">
    <w:name w:val="MDPI_3.8_bullet"/>
    <w:basedOn w:val="MDPI31text"/>
    <w:qFormat/>
    <w:rsid w:val="00C86DC0"/>
    <w:pPr>
      <w:numPr>
        <w:numId w:val="5"/>
      </w:numPr>
    </w:pPr>
  </w:style>
  <w:style w:type="paragraph" w:customStyle="1" w:styleId="MDPI39equation">
    <w:name w:val="MDPI_3.9_equation"/>
    <w:basedOn w:val="MDPI31text"/>
    <w:qFormat/>
    <w:rsid w:val="00C86DC0"/>
    <w:pPr>
      <w:spacing w:before="120" w:after="120"/>
      <w:ind w:left="709" w:firstLine="0"/>
      <w:jc w:val="center"/>
    </w:pPr>
  </w:style>
  <w:style w:type="paragraph" w:customStyle="1" w:styleId="MDPI3aequationnumber">
    <w:name w:val="MDPI_3.a_equation_number"/>
    <w:basedOn w:val="MDPI31text"/>
    <w:qFormat/>
    <w:rsid w:val="00C86DC0"/>
    <w:pPr>
      <w:spacing w:before="120" w:after="120" w:line="240" w:lineRule="auto"/>
      <w:ind w:firstLine="0"/>
      <w:jc w:val="right"/>
    </w:pPr>
  </w:style>
  <w:style w:type="paragraph" w:customStyle="1" w:styleId="MDPI411onetablecaption">
    <w:name w:val="MDPI_4.1.1_one_table_caption"/>
    <w:basedOn w:val="Normal"/>
    <w:qFormat/>
    <w:rsid w:val="00C86DC0"/>
    <w:pPr>
      <w:adjustRightInd w:val="0"/>
      <w:snapToGrid w:val="0"/>
      <w:spacing w:before="120" w:after="240" w:line="260" w:lineRule="atLeast"/>
      <w:jc w:val="center"/>
    </w:pPr>
    <w:rPr>
      <w:rFonts w:ascii="Palatino Linotype" w:eastAsiaTheme="minorEastAsia" w:hAnsi="Palatino Linotype" w:cstheme="minorBidi"/>
      <w:color w:val="000000"/>
      <w:sz w:val="20"/>
      <w:szCs w:val="22"/>
      <w:lang w:val="en-US" w:eastAsia="zh-CN" w:bidi="en-US"/>
    </w:rPr>
  </w:style>
  <w:style w:type="paragraph" w:customStyle="1" w:styleId="MDPI41tablecaption">
    <w:name w:val="MDPI_4.1_table_caption"/>
    <w:basedOn w:val="MDPI62Acknowledgments"/>
    <w:qFormat/>
    <w:rsid w:val="00C86DC0"/>
    <w:pPr>
      <w:spacing w:before="240" w:after="120" w:line="260" w:lineRule="atLeast"/>
      <w:ind w:left="425" w:right="425"/>
    </w:pPr>
    <w:rPr>
      <w:rFonts w:cstheme="minorBidi"/>
      <w:snapToGrid/>
      <w:sz w:val="18"/>
      <w:szCs w:val="22"/>
    </w:rPr>
  </w:style>
  <w:style w:type="table" w:customStyle="1" w:styleId="MDPI41threelinetable">
    <w:name w:val="MDPI_4.1_three_line_table"/>
    <w:basedOn w:val="TableNormal"/>
    <w:uiPriority w:val="99"/>
    <w:rsid w:val="00C86DC0"/>
    <w:pPr>
      <w:adjustRightInd w:val="0"/>
      <w:snapToGrid w:val="0"/>
      <w:jc w:val="center"/>
    </w:pPr>
    <w:rPr>
      <w:rFonts w:ascii="Palatino Linotype" w:eastAsiaTheme="minorEastAsia" w:hAnsi="Palatino Linotype" w:cs="Times New Roman"/>
      <w:color w:val="000000"/>
      <w:sz w:val="20"/>
      <w:szCs w:val="20"/>
      <w:lang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2tablebody">
    <w:name w:val="MDPI_4.2_table_body"/>
    <w:qFormat/>
    <w:rsid w:val="00C86DC0"/>
    <w:pPr>
      <w:adjustRightInd w:val="0"/>
      <w:snapToGrid w:val="0"/>
      <w:spacing w:line="260" w:lineRule="atLeast"/>
      <w:jc w:val="center"/>
    </w:pPr>
    <w:rPr>
      <w:rFonts w:ascii="Palatino Linotype" w:eastAsia="Times New Roman" w:hAnsi="Palatino Linotype" w:cs="Times New Roman"/>
      <w:snapToGrid w:val="0"/>
      <w:color w:val="000000"/>
      <w:sz w:val="20"/>
      <w:szCs w:val="20"/>
      <w:lang w:eastAsia="de-DE" w:bidi="en-US"/>
    </w:rPr>
  </w:style>
  <w:style w:type="paragraph" w:customStyle="1" w:styleId="MDPI43tablefooter">
    <w:name w:val="MDPI_4.3_table_footer"/>
    <w:basedOn w:val="MDPI41tablecaption"/>
    <w:next w:val="MDPI31text"/>
    <w:qFormat/>
    <w:rsid w:val="00C86DC0"/>
    <w:pPr>
      <w:spacing w:before="0" w:after="240"/>
      <w:ind w:left="0" w:right="0"/>
    </w:pPr>
  </w:style>
  <w:style w:type="paragraph" w:customStyle="1" w:styleId="MDPI511onefigurecaption">
    <w:name w:val="MDPI_5.1.1_one_figure_caption"/>
    <w:basedOn w:val="Normal"/>
    <w:qFormat/>
    <w:rsid w:val="00C86DC0"/>
    <w:pPr>
      <w:adjustRightInd w:val="0"/>
      <w:snapToGrid w:val="0"/>
      <w:spacing w:before="120" w:after="240" w:line="260" w:lineRule="atLeast"/>
      <w:jc w:val="center"/>
    </w:pPr>
    <w:rPr>
      <w:rFonts w:ascii="Palatino Linotype" w:eastAsiaTheme="minorEastAsia" w:hAnsi="Palatino Linotype"/>
      <w:color w:val="000000"/>
      <w:sz w:val="20"/>
      <w:szCs w:val="20"/>
      <w:lang w:val="en-US" w:eastAsia="zh-CN" w:bidi="en-US"/>
    </w:rPr>
  </w:style>
  <w:style w:type="paragraph" w:customStyle="1" w:styleId="MDPI51figurecaption">
    <w:name w:val="MDPI_5.1_figure_caption"/>
    <w:basedOn w:val="MDPI62Acknowledgments"/>
    <w:qFormat/>
    <w:rsid w:val="00C86DC0"/>
    <w:pPr>
      <w:spacing w:after="240" w:line="260" w:lineRule="atLeast"/>
      <w:ind w:left="425" w:right="425"/>
    </w:pPr>
    <w:rPr>
      <w:snapToGrid/>
      <w:sz w:val="18"/>
    </w:rPr>
  </w:style>
  <w:style w:type="paragraph" w:customStyle="1" w:styleId="MDPI52figure">
    <w:name w:val="MDPI_5.2_figure"/>
    <w:qFormat/>
    <w:rsid w:val="00C86DC0"/>
    <w:pPr>
      <w:adjustRightInd w:val="0"/>
      <w:snapToGrid w:val="0"/>
      <w:spacing w:before="240" w:line="260" w:lineRule="atLeast"/>
      <w:jc w:val="center"/>
    </w:pPr>
    <w:rPr>
      <w:rFonts w:ascii="Palatino Linotype" w:eastAsia="Times New Roman" w:hAnsi="Palatino Linotype" w:cs="Times New Roman"/>
      <w:snapToGrid w:val="0"/>
      <w:color w:val="000000"/>
      <w:sz w:val="20"/>
      <w:szCs w:val="20"/>
      <w:lang w:eastAsia="de-DE" w:bidi="en-US"/>
    </w:rPr>
  </w:style>
  <w:style w:type="paragraph" w:customStyle="1" w:styleId="MDPI61Supplementary">
    <w:name w:val="MDPI_6.1_Supplementary"/>
    <w:basedOn w:val="MDPI62Acknowledgments"/>
    <w:qFormat/>
    <w:rsid w:val="00C86DC0"/>
    <w:pPr>
      <w:spacing w:before="240"/>
    </w:pPr>
    <w:rPr>
      <w:lang w:eastAsia="en-US"/>
    </w:rPr>
  </w:style>
  <w:style w:type="paragraph" w:customStyle="1" w:styleId="MDPI62Acknowledgments">
    <w:name w:val="MDPI_6.2_Acknowledgments"/>
    <w:qFormat/>
    <w:rsid w:val="00C86DC0"/>
    <w:pPr>
      <w:adjustRightInd w:val="0"/>
      <w:snapToGrid w:val="0"/>
      <w:spacing w:before="120" w:line="200" w:lineRule="atLeast"/>
      <w:jc w:val="both"/>
    </w:pPr>
    <w:rPr>
      <w:rFonts w:ascii="Palatino Linotype" w:eastAsia="Times New Roman" w:hAnsi="Palatino Linotype" w:cs="Times New Roman"/>
      <w:snapToGrid w:val="0"/>
      <w:color w:val="000000"/>
      <w:sz w:val="20"/>
      <w:szCs w:val="20"/>
      <w:lang w:eastAsia="de-DE" w:bidi="en-US"/>
    </w:rPr>
  </w:style>
  <w:style w:type="paragraph" w:customStyle="1" w:styleId="MDPI63AuthorContributions">
    <w:name w:val="MDPI_6.3_AuthorContributions"/>
    <w:basedOn w:val="MDPI62Acknowledgments"/>
    <w:qFormat/>
    <w:rsid w:val="00C86DC0"/>
    <w:rPr>
      <w:rFonts w:eastAsia="宋体"/>
      <w:color w:val="auto"/>
      <w:sz w:val="18"/>
      <w:lang w:eastAsia="en-US"/>
    </w:rPr>
  </w:style>
  <w:style w:type="paragraph" w:customStyle="1" w:styleId="MDPI64CoI">
    <w:name w:val="MDPI_6.4_CoI"/>
    <w:basedOn w:val="MDPI62Acknowledgments"/>
    <w:qFormat/>
    <w:rsid w:val="00C86DC0"/>
  </w:style>
  <w:style w:type="paragraph" w:customStyle="1" w:styleId="MDPI71References">
    <w:name w:val="MDPI_7.1_References"/>
    <w:basedOn w:val="MDPI62Acknowledgments"/>
    <w:qFormat/>
    <w:rsid w:val="00C86DC0"/>
    <w:pPr>
      <w:numPr>
        <w:numId w:val="6"/>
      </w:numPr>
      <w:spacing w:before="0" w:line="260" w:lineRule="atLeast"/>
    </w:pPr>
  </w:style>
  <w:style w:type="paragraph" w:customStyle="1" w:styleId="MDPI72Copyright">
    <w:name w:val="MDPI_7.2_Copyright"/>
    <w:basedOn w:val="MDPI71References"/>
    <w:qFormat/>
    <w:rsid w:val="00C86DC0"/>
    <w:pPr>
      <w:numPr>
        <w:numId w:val="0"/>
      </w:numPr>
      <w:spacing w:before="400"/>
    </w:pPr>
    <w:rPr>
      <w:noProof/>
      <w:spacing w:val="-2"/>
      <w:lang w:val="en-GB" w:eastAsia="en-GB" w:bidi="ar-SA"/>
    </w:rPr>
  </w:style>
  <w:style w:type="paragraph" w:customStyle="1" w:styleId="MDPI73CopyrightImage">
    <w:name w:val="MDPI_7.3_CopyrightImage"/>
    <w:rsid w:val="00C86DC0"/>
    <w:pPr>
      <w:adjustRightInd w:val="0"/>
      <w:snapToGrid w:val="0"/>
      <w:spacing w:after="100" w:line="260" w:lineRule="atLeast"/>
      <w:jc w:val="right"/>
    </w:pPr>
    <w:rPr>
      <w:rFonts w:ascii="Palatino Linotype" w:eastAsia="Times New Roman" w:hAnsi="Palatino Linotype" w:cs="Times New Roman"/>
      <w:color w:val="000000"/>
      <w:sz w:val="20"/>
      <w:szCs w:val="20"/>
      <w:lang w:eastAsia="de-CH"/>
    </w:rPr>
  </w:style>
  <w:style w:type="paragraph" w:customStyle="1" w:styleId="MDPI81theorem">
    <w:name w:val="MDPI_8.1_theorem"/>
    <w:basedOn w:val="MDPI32textnoindent"/>
    <w:qFormat/>
    <w:rsid w:val="00C86DC0"/>
    <w:rPr>
      <w:i/>
    </w:rPr>
  </w:style>
  <w:style w:type="paragraph" w:customStyle="1" w:styleId="MDPI82proof">
    <w:name w:val="MDPI_8.2_proof"/>
    <w:basedOn w:val="MDPI32textnoindent"/>
    <w:qFormat/>
    <w:rsid w:val="00C86DC0"/>
  </w:style>
  <w:style w:type="paragraph" w:customStyle="1" w:styleId="MDPIfooter">
    <w:name w:val="MDPI_footer"/>
    <w:qFormat/>
    <w:rsid w:val="00C86DC0"/>
    <w:pPr>
      <w:adjustRightInd w:val="0"/>
      <w:snapToGrid w:val="0"/>
      <w:spacing w:before="120" w:line="260" w:lineRule="atLeast"/>
      <w:jc w:val="center"/>
    </w:pPr>
    <w:rPr>
      <w:rFonts w:ascii="Palatino Linotype" w:eastAsia="Times New Roman" w:hAnsi="Palatino Linotype" w:cs="Times New Roman"/>
      <w:color w:val="000000"/>
      <w:sz w:val="20"/>
      <w:szCs w:val="20"/>
      <w:lang w:eastAsia="de-DE"/>
    </w:rPr>
  </w:style>
  <w:style w:type="paragraph" w:customStyle="1" w:styleId="MDPIfooterfirstpage">
    <w:name w:val="MDPI_footer_firstpage"/>
    <w:basedOn w:val="MDPIfooter"/>
    <w:qFormat/>
    <w:rsid w:val="00C86DC0"/>
    <w:pPr>
      <w:tabs>
        <w:tab w:val="right" w:pos="8845"/>
      </w:tabs>
      <w:spacing w:line="160" w:lineRule="exact"/>
      <w:jc w:val="left"/>
    </w:pPr>
    <w:rPr>
      <w:sz w:val="16"/>
    </w:rPr>
  </w:style>
  <w:style w:type="paragraph" w:customStyle="1" w:styleId="MDPIheader">
    <w:name w:val="MDPI_header"/>
    <w:qFormat/>
    <w:rsid w:val="00C86DC0"/>
    <w:pPr>
      <w:adjustRightInd w:val="0"/>
      <w:snapToGrid w:val="0"/>
      <w:spacing w:after="240" w:line="260" w:lineRule="atLeast"/>
      <w:jc w:val="both"/>
    </w:pPr>
    <w:rPr>
      <w:rFonts w:ascii="Palatino Linotype" w:eastAsia="Times New Roman" w:hAnsi="Palatino Linotype" w:cs="Times New Roman"/>
      <w:iCs/>
      <w:color w:val="000000"/>
      <w:sz w:val="16"/>
      <w:szCs w:val="20"/>
      <w:lang w:eastAsia="de-DE"/>
    </w:rPr>
  </w:style>
  <w:style w:type="paragraph" w:customStyle="1" w:styleId="MDPIheadercitation">
    <w:name w:val="MDPI_header_citation"/>
    <w:basedOn w:val="MDPI62Acknowledgments"/>
    <w:rsid w:val="00C86DC0"/>
    <w:pPr>
      <w:spacing w:before="0" w:after="240" w:line="240" w:lineRule="auto"/>
      <w:jc w:val="left"/>
    </w:pPr>
  </w:style>
  <w:style w:type="paragraph" w:customStyle="1" w:styleId="MDPIheaderjournallogo">
    <w:name w:val="MDPI_header_journal_logo"/>
    <w:qFormat/>
    <w:rsid w:val="00C86DC0"/>
    <w:pPr>
      <w:adjustRightInd w:val="0"/>
      <w:snapToGrid w:val="0"/>
      <w:spacing w:line="260" w:lineRule="atLeast"/>
      <w:jc w:val="both"/>
    </w:pPr>
    <w:rPr>
      <w:rFonts w:ascii="Palatino Linotype" w:eastAsia="Times New Roman" w:hAnsi="Palatino Linotype" w:cs="Times New Roman"/>
      <w:i/>
      <w:color w:val="000000"/>
      <w:szCs w:val="22"/>
      <w:lang w:eastAsia="de-CH"/>
    </w:rPr>
  </w:style>
  <w:style w:type="paragraph" w:customStyle="1" w:styleId="MDPIheadermdpilogo">
    <w:name w:val="MDPI_header_mdpi_logo"/>
    <w:qFormat/>
    <w:rsid w:val="00C86DC0"/>
    <w:pPr>
      <w:adjustRightInd w:val="0"/>
      <w:snapToGrid w:val="0"/>
      <w:spacing w:line="260" w:lineRule="atLeast"/>
      <w:jc w:val="right"/>
    </w:pPr>
    <w:rPr>
      <w:rFonts w:ascii="Palatino Linotype" w:eastAsia="Times New Roman" w:hAnsi="Palatino Linotype" w:cs="Times New Roman"/>
      <w:color w:val="000000"/>
      <w:szCs w:val="22"/>
      <w:lang w:eastAsia="de-CH"/>
    </w:rPr>
  </w:style>
  <w:style w:type="paragraph" w:customStyle="1" w:styleId="MDPItext">
    <w:name w:val="MDPI_text"/>
    <w:basedOn w:val="Normal"/>
    <w:qFormat/>
    <w:rsid w:val="00C86DC0"/>
    <w:pPr>
      <w:kinsoku w:val="0"/>
      <w:overflowPunct w:val="0"/>
      <w:autoSpaceDE w:val="0"/>
      <w:autoSpaceDN w:val="0"/>
      <w:adjustRightInd w:val="0"/>
      <w:snapToGrid w:val="0"/>
      <w:spacing w:line="320" w:lineRule="atLeast"/>
      <w:ind w:left="425" w:right="425" w:firstLine="284"/>
      <w:jc w:val="both"/>
    </w:pPr>
    <w:rPr>
      <w:noProof/>
      <w:snapToGrid w:val="0"/>
      <w:color w:val="000000"/>
      <w:sz w:val="22"/>
      <w:szCs w:val="22"/>
      <w:lang w:val="en-US" w:eastAsia="de-DE" w:bidi="en-US"/>
    </w:rPr>
  </w:style>
  <w:style w:type="paragraph" w:customStyle="1" w:styleId="MDPItitle">
    <w:name w:val="MDPI_title"/>
    <w:qFormat/>
    <w:rsid w:val="00C86DC0"/>
    <w:pPr>
      <w:adjustRightInd w:val="0"/>
      <w:snapToGrid w:val="0"/>
      <w:spacing w:after="240" w:line="260" w:lineRule="atLeast"/>
      <w:jc w:val="both"/>
    </w:pPr>
    <w:rPr>
      <w:rFonts w:ascii="Palatino Linotype" w:eastAsia="Times New Roman" w:hAnsi="Palatino Linotype" w:cs="Times New Roman"/>
      <w:b/>
      <w:snapToGrid w:val="0"/>
      <w:color w:val="000000"/>
      <w:sz w:val="36"/>
      <w:szCs w:val="20"/>
      <w:lang w:eastAsia="de-DE" w:bidi="en-US"/>
    </w:rPr>
  </w:style>
  <w:style w:type="character" w:styleId="CommentReference">
    <w:name w:val="annotation reference"/>
    <w:basedOn w:val="DefaultParagraphFont"/>
    <w:uiPriority w:val="99"/>
    <w:semiHidden/>
    <w:unhideWhenUsed/>
    <w:rsid w:val="00B157D3"/>
    <w:rPr>
      <w:sz w:val="16"/>
      <w:szCs w:val="16"/>
    </w:rPr>
  </w:style>
  <w:style w:type="paragraph" w:styleId="CommentText">
    <w:name w:val="annotation text"/>
    <w:basedOn w:val="Normal"/>
    <w:link w:val="CommentTextChar"/>
    <w:uiPriority w:val="99"/>
    <w:semiHidden/>
    <w:unhideWhenUsed/>
    <w:rsid w:val="00B157D3"/>
    <w:rPr>
      <w:sz w:val="20"/>
      <w:szCs w:val="20"/>
    </w:rPr>
  </w:style>
  <w:style w:type="character" w:customStyle="1" w:styleId="CommentTextChar">
    <w:name w:val="Comment Text Char"/>
    <w:basedOn w:val="DefaultParagraphFont"/>
    <w:link w:val="CommentText"/>
    <w:uiPriority w:val="99"/>
    <w:semiHidden/>
    <w:rsid w:val="00B157D3"/>
    <w:rPr>
      <w:rFonts w:ascii="Times New Roman" w:eastAsia="Times New Roman" w:hAnsi="Times New Roman" w:cs="Times New Roman"/>
      <w:sz w:val="20"/>
      <w:szCs w:val="20"/>
      <w:lang w:val="en-CA"/>
    </w:rPr>
  </w:style>
  <w:style w:type="paragraph" w:styleId="CommentSubject">
    <w:name w:val="annotation subject"/>
    <w:basedOn w:val="CommentText"/>
    <w:next w:val="CommentText"/>
    <w:link w:val="CommentSubjectChar"/>
    <w:uiPriority w:val="99"/>
    <w:semiHidden/>
    <w:unhideWhenUsed/>
    <w:rsid w:val="00B157D3"/>
    <w:rPr>
      <w:b/>
      <w:bCs/>
    </w:rPr>
  </w:style>
  <w:style w:type="character" w:customStyle="1" w:styleId="CommentSubjectChar">
    <w:name w:val="Comment Subject Char"/>
    <w:basedOn w:val="CommentTextChar"/>
    <w:link w:val="CommentSubject"/>
    <w:uiPriority w:val="99"/>
    <w:semiHidden/>
    <w:rsid w:val="00B157D3"/>
    <w:rPr>
      <w:rFonts w:ascii="Times New Roman" w:eastAsia="Times New Roman" w:hAnsi="Times New Roman" w:cs="Times New Roman"/>
      <w:b/>
      <w:bCs/>
      <w:sz w:val="20"/>
      <w:szCs w:val="20"/>
      <w:lang w:val="en-CA"/>
    </w:rPr>
  </w:style>
  <w:style w:type="paragraph" w:styleId="BalloonText">
    <w:name w:val="Balloon Text"/>
    <w:basedOn w:val="Normal"/>
    <w:link w:val="BalloonTextChar"/>
    <w:uiPriority w:val="99"/>
    <w:semiHidden/>
    <w:unhideWhenUsed/>
    <w:rsid w:val="00B157D3"/>
    <w:rPr>
      <w:sz w:val="18"/>
      <w:szCs w:val="18"/>
    </w:rPr>
  </w:style>
  <w:style w:type="character" w:customStyle="1" w:styleId="BalloonTextChar">
    <w:name w:val="Balloon Text Char"/>
    <w:basedOn w:val="DefaultParagraphFont"/>
    <w:link w:val="BalloonText"/>
    <w:uiPriority w:val="99"/>
    <w:semiHidden/>
    <w:rsid w:val="00B157D3"/>
    <w:rPr>
      <w:rFonts w:ascii="Times New Roman" w:eastAsia="Times New Roman" w:hAnsi="Times New Roman" w:cs="Times New Roman"/>
      <w:sz w:val="18"/>
      <w:szCs w:val="1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43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oinf.wehi.edu.au/featureCounts/" TargetMode="External"/><Relationship Id="rId3" Type="http://schemas.openxmlformats.org/officeDocument/2006/relationships/settings" Target="settings.xml"/><Relationship Id="rId7" Type="http://schemas.openxmlformats.org/officeDocument/2006/relationships/hyperlink" Target="http://ccb.jhu.edu/softwar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ioconductor.org/packages/release/bioc/html/edg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4311</Words>
  <Characters>24576</Characters>
  <Application>Microsoft Office Word</Application>
  <DocSecurity>0</DocSecurity>
  <Lines>204</Lines>
  <Paragraphs>57</Paragraphs>
  <ScaleCrop>false</ScaleCrop>
  <Company/>
  <LinksUpToDate>false</LinksUpToDate>
  <CharactersWithSpaces>28830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MDPI</dc:creator>
  <cp:keywords/>
  <dc:description/>
  <cp:lastModifiedBy>MDPI</cp:lastModifiedBy>
  <cp:revision>5</cp:revision>
  <dcterms:created xsi:type="dcterms:W3CDTF">2018-08-31T22:15:00Z</dcterms:created>
  <dcterms:modified xsi:type="dcterms:W3CDTF">2018-09-11T03:45:00Z</dcterms:modified>
</cp:coreProperties>
</file>