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9E0" w:rsidRDefault="00B439E0" w:rsidP="00B439E0">
      <w:pPr>
        <w:pStyle w:val="MDPI51figurecaption"/>
        <w:rPr>
          <w:rFonts w:eastAsia="宋体"/>
          <w:noProof/>
          <w:snapToGrid w:val="0"/>
          <w:szCs w:val="18"/>
          <w:lang w:eastAsia="zh-CN"/>
        </w:rPr>
      </w:pPr>
      <w:r w:rsidRPr="00744116">
        <w:rPr>
          <w:b/>
        </w:rPr>
        <w:t xml:space="preserve">Figure </w:t>
      </w:r>
      <w:r>
        <w:rPr>
          <w:b/>
        </w:rPr>
        <w:t>S1</w:t>
      </w:r>
      <w:r w:rsidRPr="00744116">
        <w:rPr>
          <w:b/>
        </w:rPr>
        <w:t>.</w:t>
      </w:r>
      <w:r w:rsidRPr="005C25E9">
        <w:t xml:space="preserve"> </w:t>
      </w:r>
      <w:r w:rsidRPr="00E257A4">
        <w:rPr>
          <w:rFonts w:eastAsia="宋体"/>
          <w:noProof/>
          <w:snapToGrid w:val="0"/>
          <w:szCs w:val="18"/>
          <w:lang w:eastAsia="zh-CN"/>
        </w:rPr>
        <w:t>Phylogenetic tree of CaMKII isoforms in several insect species. Based on the protein sequence alignments, phylogenetic tree was constructed with Mega 5.0 software using maximum likelihood estimation method, together with 1000 bootstrap replicates and was rooted with Mus musculus sequence. The accession numbers of the insect CaMKII protein sequences are as: (See Table S</w:t>
      </w:r>
      <w:r w:rsidR="00D14B2E">
        <w:rPr>
          <w:rFonts w:eastAsia="宋体"/>
          <w:noProof/>
          <w:snapToGrid w:val="0"/>
          <w:szCs w:val="18"/>
          <w:lang w:eastAsia="zh-CN"/>
        </w:rPr>
        <w:t>1</w:t>
      </w:r>
      <w:r w:rsidRPr="00E257A4">
        <w:rPr>
          <w:rFonts w:eastAsia="宋体"/>
          <w:noProof/>
          <w:snapToGrid w:val="0"/>
          <w:szCs w:val="18"/>
          <w:lang w:eastAsia="zh-CN"/>
        </w:rPr>
        <w:t xml:space="preserve"> for details of GeneDB accession numbers).</w:t>
      </w:r>
    </w:p>
    <w:p w:rsidR="00B439E0" w:rsidRPr="00744116" w:rsidRDefault="00B439E0" w:rsidP="00B439E0">
      <w:pPr>
        <w:pStyle w:val="MDPI51figurecaption"/>
      </w:pPr>
      <w:r w:rsidRPr="00744116">
        <w:rPr>
          <w:b/>
        </w:rPr>
        <w:t xml:space="preserve">Figure </w:t>
      </w:r>
      <w:r>
        <w:rPr>
          <w:rFonts w:eastAsiaTheme="minorEastAsia"/>
          <w:b/>
          <w:lang w:eastAsia="zh-CN"/>
        </w:rPr>
        <w:t>S2</w:t>
      </w:r>
      <w:r w:rsidRPr="00744116">
        <w:rPr>
          <w:b/>
        </w:rPr>
        <w:t>.</w:t>
      </w:r>
      <w:r w:rsidRPr="00744116">
        <w:t xml:space="preserve"> </w:t>
      </w:r>
      <w:r w:rsidRPr="005C2996">
        <w:rPr>
          <w:b/>
        </w:rPr>
        <w:t>(A</w:t>
      </w:r>
      <w:r w:rsidRPr="005C2996">
        <w:rPr>
          <w:rFonts w:hint="eastAsia"/>
          <w:b/>
        </w:rPr>
        <w:t>)</w:t>
      </w:r>
      <w:r w:rsidRPr="005C2996">
        <w:rPr>
          <w:rFonts w:hint="eastAsia"/>
        </w:rPr>
        <w:t xml:space="preserve"> </w:t>
      </w:r>
      <w:r w:rsidRPr="005C2996">
        <w:t>RT-PCR products for developmental expression of </w:t>
      </w:r>
      <w:r w:rsidRPr="00854C98">
        <w:rPr>
          <w:i/>
        </w:rPr>
        <w:t>CaMKII</w:t>
      </w:r>
      <w:r w:rsidRPr="005C2996">
        <w:t> in the whole body of </w:t>
      </w:r>
      <w:r w:rsidRPr="00854C98">
        <w:rPr>
          <w:i/>
        </w:rPr>
        <w:t>N. lugens</w:t>
      </w:r>
      <w:r w:rsidRPr="005C2996">
        <w:t xml:space="preserve"> and </w:t>
      </w:r>
      <w:r w:rsidRPr="00854C98">
        <w:rPr>
          <w:i/>
        </w:rPr>
        <w:t>S.furcifera</w:t>
      </w:r>
      <w:r w:rsidRPr="005C2996">
        <w:t>.</w:t>
      </w:r>
      <w:r w:rsidRPr="005C2996">
        <w:rPr>
          <w:b/>
        </w:rPr>
        <w:t xml:space="preserve"> (B)</w:t>
      </w:r>
      <w:r w:rsidRPr="005C2996">
        <w:t xml:space="preserve"> RT-qPCR analysis</w:t>
      </w:r>
      <w:r w:rsidRPr="005C2996">
        <w:rPr>
          <w:rFonts w:hint="eastAsia"/>
        </w:rPr>
        <w:t xml:space="preserve"> </w:t>
      </w:r>
      <w:r w:rsidRPr="005C2996">
        <w:t>for developmental expression of </w:t>
      </w:r>
      <w:r w:rsidRPr="00854C98">
        <w:rPr>
          <w:i/>
        </w:rPr>
        <w:t>CaMKII </w:t>
      </w:r>
      <w:r w:rsidRPr="005C2996">
        <w:t>in the whole body of</w:t>
      </w:r>
      <w:r w:rsidRPr="005C2996">
        <w:rPr>
          <w:i/>
        </w:rPr>
        <w:t> N. lugens</w:t>
      </w:r>
      <w:r w:rsidRPr="005C2996">
        <w:t xml:space="preserve"> and </w:t>
      </w:r>
      <w:r w:rsidRPr="005C2996">
        <w:rPr>
          <w:i/>
        </w:rPr>
        <w:t>S.furcifera</w:t>
      </w:r>
      <w:r w:rsidRPr="005C2996">
        <w:t xml:space="preserve">. The mRNA levels for each cDNA were normalized with respect to the 18s-rRNA mRNA level. Fold induction values of </w:t>
      </w:r>
      <w:r w:rsidRPr="00854C98">
        <w:rPr>
          <w:i/>
        </w:rPr>
        <w:t>CaMKII</w:t>
      </w:r>
      <w:r w:rsidRPr="005C2996">
        <w:t xml:space="preserve"> genes </w:t>
      </w:r>
      <w:r>
        <w:t xml:space="preserve">in </w:t>
      </w:r>
      <w:r w:rsidRPr="00854C98">
        <w:rPr>
          <w:i/>
        </w:rPr>
        <w:t>N. lugens</w:t>
      </w:r>
      <w:r w:rsidRPr="005C2996">
        <w:t xml:space="preserve"> and </w:t>
      </w:r>
      <w:r w:rsidRPr="00854C98">
        <w:rPr>
          <w:i/>
        </w:rPr>
        <w:t>S.furcifera</w:t>
      </w:r>
      <w:r w:rsidRPr="005C2996">
        <w:t xml:space="preserve"> were calculated with the ΔΔCt equation and normalized to the mRNA level of </w:t>
      </w:r>
      <w:r w:rsidRPr="00854C98">
        <w:rPr>
          <w:i/>
        </w:rPr>
        <w:t>CaMKII</w:t>
      </w:r>
      <w:r w:rsidRPr="005C2996">
        <w:t xml:space="preserve"> genes in 1</w:t>
      </w:r>
      <w:r w:rsidRPr="00854C98">
        <w:rPr>
          <w:vertAlign w:val="superscript"/>
        </w:rPr>
        <w:t>st</w:t>
      </w:r>
      <w:r w:rsidRPr="005C2996">
        <w:t xml:space="preserve"> instar nymphs</w:t>
      </w:r>
      <w:r>
        <w:t xml:space="preserve"> of </w:t>
      </w:r>
      <w:r w:rsidRPr="00854C98">
        <w:rPr>
          <w:i/>
        </w:rPr>
        <w:t>N. lugens</w:t>
      </w:r>
      <w:r w:rsidRPr="005C2996">
        <w:t xml:space="preserve"> and </w:t>
      </w:r>
      <w:r w:rsidRPr="00854C98">
        <w:rPr>
          <w:i/>
        </w:rPr>
        <w:t>S.furcifera</w:t>
      </w:r>
      <w:r>
        <w:rPr>
          <w:i/>
        </w:rPr>
        <w:t xml:space="preserve"> </w:t>
      </w:r>
      <w:r w:rsidRPr="00B439E0">
        <w:t xml:space="preserve">respectively </w:t>
      </w:r>
      <w:r w:rsidRPr="005C2996">
        <w:t>which were defined as 1.0. Different letters above each bar indicate statistical difference by ANOVA followed by the Duncan’s Multiple Comparison test (P&lt;0.05).cDNA templates were derived from 1</w:t>
      </w:r>
      <w:r w:rsidRPr="00854C98">
        <w:rPr>
          <w:vertAlign w:val="superscript"/>
        </w:rPr>
        <w:t>st</w:t>
      </w:r>
      <w:r w:rsidRPr="005C2996">
        <w:t xml:space="preserve"> nymph, and so on; F</w:t>
      </w:r>
      <w:r w:rsidRPr="005C2996">
        <w:rPr>
          <w:rFonts w:ascii="Segoe UI Symbol" w:hAnsi="Segoe UI Symbol" w:cs="Segoe UI Symbol"/>
        </w:rPr>
        <w:t>♀</w:t>
      </w:r>
      <w:r w:rsidRPr="005C2996">
        <w:t>, newly emerged female adults; M</w:t>
      </w:r>
      <w:r w:rsidRPr="005C2996">
        <w:rPr>
          <w:rFonts w:ascii="Segoe UI Symbol" w:hAnsi="Segoe UI Symbol" w:cs="Segoe UI Symbol"/>
        </w:rPr>
        <w:t>♂</w:t>
      </w:r>
      <w:r w:rsidRPr="005C2996">
        <w:t>, newly emerged male adults. Each point represents the mean ± SE from three independent experiments with ten individuals in each replicate.</w:t>
      </w:r>
      <w:r w:rsidRPr="000224F1">
        <w:rPr>
          <w:rFonts w:ascii="Times New Roman" w:eastAsia="宋体" w:hAnsi="Times New Roman"/>
          <w:noProof/>
          <w:color w:val="auto"/>
          <w:kern w:val="2"/>
          <w:sz w:val="15"/>
          <w:szCs w:val="15"/>
          <w:lang w:eastAsia="zh-CN" w:bidi="ar-SA"/>
        </w:rPr>
        <w:t xml:space="preserve"> </w:t>
      </w:r>
    </w:p>
    <w:p w:rsidR="00B439E0" w:rsidRPr="005C2996" w:rsidRDefault="00B439E0" w:rsidP="00B439E0">
      <w:pPr>
        <w:pStyle w:val="MDPI51figurecaption"/>
        <w:rPr>
          <w:rFonts w:eastAsiaTheme="minorEastAsia"/>
          <w:lang w:eastAsia="zh-CN"/>
        </w:rPr>
      </w:pPr>
      <w:r w:rsidRPr="00744116">
        <w:rPr>
          <w:b/>
        </w:rPr>
        <w:t xml:space="preserve">Figure </w:t>
      </w:r>
      <w:r>
        <w:rPr>
          <w:rFonts w:eastAsiaTheme="minorEastAsia"/>
          <w:b/>
          <w:lang w:eastAsia="zh-CN"/>
        </w:rPr>
        <w:t>S3</w:t>
      </w:r>
      <w:r w:rsidRPr="00744116">
        <w:rPr>
          <w:b/>
        </w:rPr>
        <w:t>.</w:t>
      </w:r>
      <w:r w:rsidRPr="00744116">
        <w:t xml:space="preserve"> </w:t>
      </w:r>
      <w:r w:rsidRPr="005C2996">
        <w:rPr>
          <w:b/>
        </w:rPr>
        <w:t>(A</w:t>
      </w:r>
      <w:r w:rsidRPr="005C2996">
        <w:rPr>
          <w:rFonts w:hint="eastAsia"/>
          <w:b/>
        </w:rPr>
        <w:t>)</w:t>
      </w:r>
      <w:r w:rsidRPr="005C2996">
        <w:t xml:space="preserve"> RT-PCR products for </w:t>
      </w:r>
      <w:r w:rsidRPr="00854C98">
        <w:rPr>
          <w:i/>
        </w:rPr>
        <w:t>NlCaMKII</w:t>
      </w:r>
      <w:r w:rsidRPr="005C2996">
        <w:t xml:space="preserve"> gene </w:t>
      </w:r>
      <w:r>
        <w:rPr>
          <w:rFonts w:eastAsiaTheme="minorEastAsia" w:hint="eastAsia"/>
          <w:lang w:eastAsia="zh-CN"/>
        </w:rPr>
        <w:t>from</w:t>
      </w:r>
      <w:r w:rsidRPr="005C2996">
        <w:t xml:space="preserve"> five </w:t>
      </w:r>
      <w:r w:rsidRPr="00E753B3">
        <w:rPr>
          <w:rFonts w:eastAsiaTheme="minorEastAsia" w:hint="eastAsia"/>
          <w:i/>
          <w:lang w:eastAsia="zh-CN"/>
        </w:rPr>
        <w:t>N.lugens</w:t>
      </w:r>
      <w:r>
        <w:rPr>
          <w:rFonts w:eastAsiaTheme="minorEastAsia" w:hint="eastAsia"/>
          <w:lang w:eastAsia="zh-CN"/>
        </w:rPr>
        <w:t xml:space="preserve"> virulent</w:t>
      </w:r>
      <w:r w:rsidRPr="005C2996">
        <w:t xml:space="preserve"> populations. </w:t>
      </w:r>
      <w:r w:rsidRPr="005C2996">
        <w:rPr>
          <w:b/>
        </w:rPr>
        <w:t>(B)</w:t>
      </w:r>
      <w:r w:rsidRPr="005C2996">
        <w:t xml:space="preserve"> RT-qPCR analysis</w:t>
      </w:r>
      <w:r>
        <w:rPr>
          <w:rFonts w:eastAsiaTheme="minorEastAsia" w:hint="eastAsia"/>
          <w:lang w:eastAsia="zh-CN"/>
        </w:rPr>
        <w:t xml:space="preserve"> </w:t>
      </w:r>
      <w:r w:rsidRPr="005C2996">
        <w:t xml:space="preserve">for </w:t>
      </w:r>
      <w:r w:rsidRPr="00854C98">
        <w:rPr>
          <w:i/>
        </w:rPr>
        <w:t>NlCaMKII</w:t>
      </w:r>
      <w:r w:rsidRPr="005C2996">
        <w:t xml:space="preserve"> gene </w:t>
      </w:r>
      <w:r>
        <w:rPr>
          <w:rFonts w:eastAsiaTheme="minorEastAsia" w:hint="eastAsia"/>
          <w:lang w:eastAsia="zh-CN"/>
        </w:rPr>
        <w:t>of</w:t>
      </w:r>
      <w:r w:rsidRPr="005C2996">
        <w:t xml:space="preserve"> five </w:t>
      </w:r>
      <w:r w:rsidRPr="00E753B3">
        <w:rPr>
          <w:rFonts w:eastAsiaTheme="minorEastAsia" w:hint="eastAsia"/>
          <w:i/>
          <w:lang w:eastAsia="zh-CN"/>
        </w:rPr>
        <w:t>N.lugens</w:t>
      </w:r>
      <w:r>
        <w:rPr>
          <w:rFonts w:eastAsiaTheme="minorEastAsia" w:hint="eastAsia"/>
          <w:lang w:eastAsia="zh-CN"/>
        </w:rPr>
        <w:t xml:space="preserve"> virulent</w:t>
      </w:r>
      <w:r w:rsidRPr="005C2996">
        <w:t xml:space="preserve"> populations. Each point represents the mean ± SE from three independent experiments. The mRNA levels for each cDNA were normalized with respect to the 18s-rRNA mRNA level. Fold induction values of CaMKII genes were calculated with the ΔΔCt equation and normalized to the mRNA level of CaMKII genes in TN1</w:t>
      </w:r>
      <w:bookmarkStart w:id="0" w:name="_GoBack"/>
      <w:bookmarkEnd w:id="0"/>
      <w:r w:rsidRPr="005C2996">
        <w:t xml:space="preserve"> population which were defined as 1.0.</w:t>
      </w:r>
    </w:p>
    <w:p w:rsidR="00DF4206" w:rsidRPr="00B439E0" w:rsidRDefault="00DF4206"/>
    <w:sectPr w:rsidR="00DF4206" w:rsidRPr="00B439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583" w:rsidRDefault="000D1583" w:rsidP="00B439E0">
      <w:r>
        <w:separator/>
      </w:r>
    </w:p>
  </w:endnote>
  <w:endnote w:type="continuationSeparator" w:id="0">
    <w:p w:rsidR="000D1583" w:rsidRDefault="000D1583" w:rsidP="00B4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583" w:rsidRDefault="000D1583" w:rsidP="00B439E0">
      <w:r>
        <w:separator/>
      </w:r>
    </w:p>
  </w:footnote>
  <w:footnote w:type="continuationSeparator" w:id="0">
    <w:p w:rsidR="000D1583" w:rsidRDefault="000D1583" w:rsidP="00B439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254"/>
    <w:rsid w:val="000933C8"/>
    <w:rsid w:val="000C6470"/>
    <w:rsid w:val="000D1583"/>
    <w:rsid w:val="00180245"/>
    <w:rsid w:val="002C0254"/>
    <w:rsid w:val="007E59C7"/>
    <w:rsid w:val="00B439E0"/>
    <w:rsid w:val="00D14B2E"/>
    <w:rsid w:val="00DF4206"/>
    <w:rsid w:val="00F96DBF"/>
    <w:rsid w:val="00FA2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C4D362-AE8D-47B9-A7FA-ED5F5D99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39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39E0"/>
    <w:rPr>
      <w:sz w:val="18"/>
      <w:szCs w:val="18"/>
    </w:rPr>
  </w:style>
  <w:style w:type="paragraph" w:styleId="a4">
    <w:name w:val="footer"/>
    <w:basedOn w:val="a"/>
    <w:link w:val="Char0"/>
    <w:uiPriority w:val="99"/>
    <w:unhideWhenUsed/>
    <w:rsid w:val="00B439E0"/>
    <w:pPr>
      <w:tabs>
        <w:tab w:val="center" w:pos="4153"/>
        <w:tab w:val="right" w:pos="8306"/>
      </w:tabs>
      <w:snapToGrid w:val="0"/>
      <w:jc w:val="left"/>
    </w:pPr>
    <w:rPr>
      <w:sz w:val="18"/>
      <w:szCs w:val="18"/>
    </w:rPr>
  </w:style>
  <w:style w:type="character" w:customStyle="1" w:styleId="Char0">
    <w:name w:val="页脚 Char"/>
    <w:basedOn w:val="a0"/>
    <w:link w:val="a4"/>
    <w:uiPriority w:val="99"/>
    <w:rsid w:val="00B439E0"/>
    <w:rPr>
      <w:sz w:val="18"/>
      <w:szCs w:val="18"/>
    </w:rPr>
  </w:style>
  <w:style w:type="paragraph" w:customStyle="1" w:styleId="MDPI51figurecaption">
    <w:name w:val="MDPI_5.1_figure_caption"/>
    <w:basedOn w:val="a"/>
    <w:qFormat/>
    <w:rsid w:val="00B439E0"/>
    <w:pPr>
      <w:widowControl/>
      <w:adjustRightInd w:val="0"/>
      <w:snapToGrid w:val="0"/>
      <w:spacing w:before="120" w:after="240" w:line="260" w:lineRule="atLeast"/>
      <w:ind w:left="425" w:right="425"/>
    </w:pPr>
    <w:rPr>
      <w:rFonts w:ascii="Palatino Linotype" w:eastAsia="Times New Roman" w:hAnsi="Palatino Linotype" w:cs="Times New Roman"/>
      <w:color w:val="000000"/>
      <w:kern w:val="0"/>
      <w:sz w:val="18"/>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275</Words>
  <Characters>1572</Characters>
  <Application>Microsoft Office Word</Application>
  <DocSecurity>0</DocSecurity>
  <Lines>13</Lines>
  <Paragraphs>3</Paragraphs>
  <ScaleCrop>false</ScaleCrop>
  <Company>Microsoft</Company>
  <LinksUpToDate>false</LinksUpToDate>
  <CharactersWithSpaces>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2019-04-01T02:56:00Z</dcterms:created>
  <dcterms:modified xsi:type="dcterms:W3CDTF">2019-06-20T02:52:00Z</dcterms:modified>
</cp:coreProperties>
</file>