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DD" w:rsidRDefault="00D55283" w:rsidP="00D55283">
      <w:pPr>
        <w:pStyle w:val="MDPI62Acknowledgments"/>
        <w:rPr>
          <w:b/>
          <w:color w:val="auto"/>
        </w:rPr>
      </w:pPr>
      <w:r w:rsidRPr="002C1FCF">
        <w:rPr>
          <w:b/>
          <w:color w:val="auto"/>
        </w:rPr>
        <w:t xml:space="preserve">Figure S1: </w:t>
      </w:r>
      <w:r w:rsidRPr="002C1FCF">
        <w:rPr>
          <w:color w:val="auto"/>
        </w:rPr>
        <w:t xml:space="preserve">Strand-specific </w:t>
      </w:r>
      <w:r w:rsidRPr="002C1FCF">
        <w:rPr>
          <w:iCs/>
          <w:color w:val="auto"/>
        </w:rPr>
        <w:t>real</w:t>
      </w:r>
      <w:r w:rsidRPr="002C1FCF">
        <w:rPr>
          <w:color w:val="auto"/>
        </w:rPr>
        <w:t>-</w:t>
      </w:r>
      <w:r w:rsidRPr="002C1FCF">
        <w:rPr>
          <w:iCs/>
          <w:color w:val="auto"/>
        </w:rPr>
        <w:t>time RT</w:t>
      </w:r>
      <w:r w:rsidRPr="002C1FCF">
        <w:rPr>
          <w:color w:val="auto"/>
        </w:rPr>
        <w:t>-</w:t>
      </w:r>
      <w:r w:rsidRPr="002C1FCF">
        <w:rPr>
          <w:iCs/>
          <w:color w:val="auto"/>
        </w:rPr>
        <w:t xml:space="preserve">qPCR analysis for quantification of </w:t>
      </w:r>
      <w:proofErr w:type="spellStart"/>
      <w:r w:rsidRPr="002C1FCF">
        <w:rPr>
          <w:iCs/>
          <w:color w:val="auto"/>
        </w:rPr>
        <w:t>HLVd</w:t>
      </w:r>
      <w:proofErr w:type="spellEnd"/>
      <w:r w:rsidRPr="002C1FCF">
        <w:rPr>
          <w:iCs/>
          <w:color w:val="auto"/>
        </w:rPr>
        <w:t xml:space="preserve"> and </w:t>
      </w:r>
      <w:proofErr w:type="spellStart"/>
      <w:r w:rsidRPr="002C1FCF">
        <w:rPr>
          <w:iCs/>
          <w:color w:val="auto"/>
        </w:rPr>
        <w:t>CBCVd</w:t>
      </w:r>
      <w:proofErr w:type="spellEnd"/>
      <w:r w:rsidRPr="002C1FCF">
        <w:rPr>
          <w:iCs/>
          <w:color w:val="auto"/>
        </w:rPr>
        <w:t xml:space="preserve"> in individual and mixed infected hop plants</w:t>
      </w:r>
      <w:r w:rsidRPr="002C1FCF">
        <w:rPr>
          <w:color w:val="auto"/>
        </w:rPr>
        <w:t>.</w:t>
      </w:r>
      <w:r w:rsidRPr="002C1FCF">
        <w:rPr>
          <w:rFonts w:ascii="Times New Roman" w:hAnsi="Times New Roman"/>
          <w:snapToGrid/>
          <w:color w:val="auto"/>
          <w:sz w:val="24"/>
          <w:lang w:bidi="ar-SA"/>
        </w:rPr>
        <w:t xml:space="preserve"> </w:t>
      </w:r>
      <w:r w:rsidRPr="002C1FCF">
        <w:rPr>
          <w:color w:val="auto"/>
        </w:rPr>
        <w:t>All samples were normalized to the strand with the higher level (100%) and relative quantities were calculated using target-specific amplification efficiencies. Each column represents the mean ±S.D. of three replicates of single and mixed infected hop plants used for RNA-</w:t>
      </w:r>
      <w:proofErr w:type="spellStart"/>
      <w:r w:rsidRPr="002C1FCF">
        <w:rPr>
          <w:color w:val="auto"/>
        </w:rPr>
        <w:t>seq</w:t>
      </w:r>
      <w:proofErr w:type="spellEnd"/>
      <w:r w:rsidRPr="002C1FCF">
        <w:rPr>
          <w:color w:val="auto"/>
        </w:rPr>
        <w:t xml:space="preserve"> experiments.</w:t>
      </w:r>
      <w:r w:rsidRPr="002C1FCF">
        <w:rPr>
          <w:b/>
          <w:color w:val="auto"/>
        </w:rPr>
        <w:t xml:space="preserve">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Figure S2:</w:t>
      </w:r>
      <w:r w:rsidRPr="002C1FCF">
        <w:rPr>
          <w:color w:val="auto"/>
        </w:rPr>
        <w:t xml:space="preserve"> Characteristics of assembled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>.</w:t>
      </w:r>
      <w:r w:rsidRPr="002C1FCF">
        <w:rPr>
          <w:b/>
          <w:color w:val="auto"/>
        </w:rPr>
        <w:t xml:space="preserve"> </w:t>
      </w:r>
      <w:r w:rsidRPr="002C1FCF">
        <w:rPr>
          <w:color w:val="auto"/>
        </w:rPr>
        <w:t>(</w:t>
      </w:r>
      <w:r w:rsidRPr="003E7095">
        <w:rPr>
          <w:b/>
          <w:bCs/>
          <w:color w:val="auto"/>
        </w:rPr>
        <w:t>A</w:t>
      </w:r>
      <w:r w:rsidRPr="002C1FCF">
        <w:rPr>
          <w:color w:val="auto"/>
        </w:rPr>
        <w:t xml:space="preserve">) Length distribution of assembled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>; (</w:t>
      </w:r>
      <w:r w:rsidRPr="003E7095">
        <w:rPr>
          <w:b/>
          <w:bCs/>
          <w:color w:val="auto"/>
        </w:rPr>
        <w:t>B</w:t>
      </w:r>
      <w:r w:rsidRPr="002C1FCF">
        <w:rPr>
          <w:color w:val="auto"/>
        </w:rPr>
        <w:t xml:space="preserve">) E-value distribution of the BLASTX hits against the </w:t>
      </w:r>
      <w:proofErr w:type="spellStart"/>
      <w:r w:rsidRPr="002C1FCF">
        <w:rPr>
          <w:color w:val="auto"/>
        </w:rPr>
        <w:t>nr</w:t>
      </w:r>
      <w:proofErr w:type="spellEnd"/>
      <w:r w:rsidRPr="002C1FCF">
        <w:rPr>
          <w:color w:val="auto"/>
        </w:rPr>
        <w:t xml:space="preserve"> protein database for each </w:t>
      </w:r>
      <w:proofErr w:type="spellStart"/>
      <w:r w:rsidRPr="002C1FCF">
        <w:rPr>
          <w:color w:val="auto"/>
        </w:rPr>
        <w:t>unigene</w:t>
      </w:r>
      <w:proofErr w:type="spellEnd"/>
      <w:r w:rsidRPr="002C1FCF">
        <w:rPr>
          <w:color w:val="auto"/>
        </w:rPr>
        <w:t xml:space="preserve"> with a cutoff E-value of 1.0 E</w:t>
      </w:r>
      <w:r w:rsidRPr="002C1FCF">
        <w:rPr>
          <w:color w:val="auto"/>
          <w:vertAlign w:val="superscript"/>
        </w:rPr>
        <w:t>−3</w:t>
      </w:r>
      <w:r w:rsidRPr="002C1FCF">
        <w:rPr>
          <w:color w:val="auto"/>
        </w:rPr>
        <w:t>; (</w:t>
      </w:r>
      <w:r w:rsidRPr="003E7095">
        <w:rPr>
          <w:b/>
          <w:bCs/>
          <w:color w:val="auto"/>
        </w:rPr>
        <w:t>C</w:t>
      </w:r>
      <w:r w:rsidRPr="002C1FCF">
        <w:rPr>
          <w:color w:val="auto"/>
        </w:rPr>
        <w:t xml:space="preserve">) Similarity distribution of the top </w:t>
      </w:r>
      <w:proofErr w:type="spellStart"/>
      <w:r w:rsidRPr="002C1FCF">
        <w:rPr>
          <w:color w:val="auto"/>
        </w:rPr>
        <w:t>BLASTx</w:t>
      </w:r>
      <w:proofErr w:type="spellEnd"/>
      <w:r w:rsidRPr="002C1FCF">
        <w:rPr>
          <w:color w:val="auto"/>
        </w:rPr>
        <w:t xml:space="preserve"> hits for each </w:t>
      </w:r>
      <w:proofErr w:type="spellStart"/>
      <w:r w:rsidRPr="002C1FCF">
        <w:rPr>
          <w:color w:val="auto"/>
        </w:rPr>
        <w:t>unigene</w:t>
      </w:r>
      <w:proofErr w:type="spellEnd"/>
      <w:r w:rsidRPr="002C1FCF">
        <w:rPr>
          <w:color w:val="auto"/>
        </w:rPr>
        <w:t>; (</w:t>
      </w:r>
      <w:r w:rsidRPr="003E7095">
        <w:rPr>
          <w:b/>
          <w:bCs/>
          <w:color w:val="auto"/>
        </w:rPr>
        <w:t>D</w:t>
      </w:r>
      <w:r w:rsidRPr="002C1FCF">
        <w:rPr>
          <w:color w:val="auto"/>
        </w:rPr>
        <w:t xml:space="preserve">) </w:t>
      </w:r>
      <w:proofErr w:type="spellStart"/>
      <w:r w:rsidRPr="002C1FCF">
        <w:rPr>
          <w:color w:val="auto"/>
        </w:rPr>
        <w:t>BLASTx</w:t>
      </w:r>
      <w:proofErr w:type="spellEnd"/>
      <w:r w:rsidRPr="002C1FCF">
        <w:rPr>
          <w:color w:val="auto"/>
        </w:rPr>
        <w:t xml:space="preserve"> top-hit species distribution of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 xml:space="preserve">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Figure S3:</w:t>
      </w:r>
      <w:r w:rsidRPr="002C1FCF">
        <w:rPr>
          <w:color w:val="auto"/>
        </w:rPr>
        <w:t xml:space="preserve"> Determination of functional categories by the Clusters of Orthologous Groups (COG) database. (</w:t>
      </w:r>
      <w:r w:rsidRPr="003E7095">
        <w:rPr>
          <w:b/>
          <w:bCs/>
          <w:color w:val="auto"/>
        </w:rPr>
        <w:t>A</w:t>
      </w:r>
      <w:r w:rsidRPr="002C1FCF">
        <w:rPr>
          <w:color w:val="auto"/>
        </w:rPr>
        <w:t xml:space="preserve">) COG analysis of assembled in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>. (</w:t>
      </w:r>
      <w:r w:rsidRPr="003E7095">
        <w:rPr>
          <w:b/>
          <w:bCs/>
          <w:color w:val="auto"/>
        </w:rPr>
        <w:t>B</w:t>
      </w:r>
      <w:r w:rsidRPr="002C1FCF">
        <w:rPr>
          <w:color w:val="auto"/>
        </w:rPr>
        <w:t xml:space="preserve">) COG analysis of differentially expressed genes in single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, </w:t>
      </w:r>
      <w:proofErr w:type="spellStart"/>
      <w:r w:rsidRPr="002C1FCF">
        <w:rPr>
          <w:color w:val="auto"/>
        </w:rPr>
        <w:t>CBCVd</w:t>
      </w:r>
      <w:proofErr w:type="spellEnd"/>
      <w:r>
        <w:rPr>
          <w:color w:val="auto"/>
        </w:rPr>
        <w:t>,</w:t>
      </w:r>
      <w:r w:rsidRPr="002C1FCF">
        <w:rPr>
          <w:color w:val="auto"/>
        </w:rPr>
        <w:t xml:space="preserve"> and mixed </w:t>
      </w:r>
      <w:proofErr w:type="spellStart"/>
      <w:r w:rsidRPr="002C1FCF">
        <w:rPr>
          <w:color w:val="auto"/>
        </w:rPr>
        <w:t>HLVd-CBCVd</w:t>
      </w:r>
      <w:proofErr w:type="spellEnd"/>
      <w:r w:rsidRPr="002C1FCF">
        <w:rPr>
          <w:color w:val="auto"/>
        </w:rPr>
        <w:t xml:space="preserve"> infection. COG category codes:  COG category codes are indicated on the X axis and the fraction of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 xml:space="preserve">/DEGs in each COG category is shown on the Y axis. </w:t>
      </w:r>
      <w:bookmarkStart w:id="0" w:name="_Hlk11765774"/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 xml:space="preserve">Figure S4: </w:t>
      </w:r>
      <w:r w:rsidRPr="002C1FCF">
        <w:rPr>
          <w:color w:val="auto"/>
        </w:rPr>
        <w:t xml:space="preserve">Gene ontology (GO) enrichment analysis of upregulated genes arranged in the biological process category (BP), the cellular component category (CC) and the molecular function category (MF), respectively in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-infected hop plants. The more forward ranking is represented by a redder color.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Figure S5:</w:t>
      </w:r>
      <w:r w:rsidRPr="002C1FCF">
        <w:rPr>
          <w:color w:val="auto"/>
        </w:rPr>
        <w:t xml:space="preserve"> Gene ontology (GO) enrichment analysis of downregulated genes arranged in the biological process category (BP), the cellular component category (CC)</w:t>
      </w:r>
      <w:r>
        <w:rPr>
          <w:color w:val="auto"/>
        </w:rPr>
        <w:t>,</w:t>
      </w:r>
      <w:r w:rsidRPr="002C1FCF">
        <w:rPr>
          <w:color w:val="auto"/>
        </w:rPr>
        <w:t xml:space="preserve"> and the molecular function category (MF), respectively in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-infected hop plants. The more forward ranking is represented by a redder color. </w:t>
      </w:r>
      <w:bookmarkEnd w:id="0"/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 xml:space="preserve">Figure S6: </w:t>
      </w:r>
      <w:r w:rsidRPr="002C1FCF">
        <w:rPr>
          <w:color w:val="auto"/>
        </w:rPr>
        <w:t>Gene ontology (GO) enrichment analysis of upregulated genes arranged in the biological process category (BP), the cellular component category (CC) and the molecular function category (MF), respectively</w:t>
      </w:r>
      <w:r>
        <w:rPr>
          <w:color w:val="auto"/>
        </w:rPr>
        <w:t>,</w:t>
      </w:r>
      <w:r w:rsidRPr="002C1FCF">
        <w:rPr>
          <w:color w:val="auto"/>
        </w:rPr>
        <w:t xml:space="preserve"> in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-infected hop plants. The more forward ranking is represented by a redder color.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Figure S7:</w:t>
      </w:r>
      <w:r w:rsidRPr="002C1FCF">
        <w:rPr>
          <w:color w:val="auto"/>
        </w:rPr>
        <w:t xml:space="preserve"> Gene ontology (GO) enrichment analysis of downregulated genes arranged in the biological process category (BP), the cellular component category (CC) and the molecular function category (MF), respectively in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-infected hop plants. The more forward ranking is represented by a redder color.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 xml:space="preserve">Figure S8: </w:t>
      </w:r>
      <w:r w:rsidRPr="002C1FCF">
        <w:rPr>
          <w:color w:val="auto"/>
        </w:rPr>
        <w:t>Gene ontology (GO) enrichment analysis of upregulated genes arranged in the biological process category (BP), the cellular component category (CC)</w:t>
      </w:r>
      <w:r>
        <w:rPr>
          <w:color w:val="auto"/>
        </w:rPr>
        <w:t>,</w:t>
      </w:r>
      <w:r w:rsidRPr="002C1FCF">
        <w:rPr>
          <w:color w:val="auto"/>
        </w:rPr>
        <w:t xml:space="preserve"> and the molecular function category (MF), respectively</w:t>
      </w:r>
      <w:r>
        <w:rPr>
          <w:color w:val="auto"/>
        </w:rPr>
        <w:t>,</w:t>
      </w:r>
      <w:r w:rsidRPr="002C1FCF">
        <w:rPr>
          <w:color w:val="auto"/>
        </w:rPr>
        <w:t xml:space="preserve"> in </w:t>
      </w:r>
      <w:proofErr w:type="spellStart"/>
      <w:r w:rsidRPr="002C1FCF">
        <w:rPr>
          <w:color w:val="auto"/>
        </w:rPr>
        <w:t>CBCVd-HLVd</w:t>
      </w:r>
      <w:proofErr w:type="spellEnd"/>
      <w:r w:rsidRPr="002C1FCF">
        <w:rPr>
          <w:color w:val="auto"/>
        </w:rPr>
        <w:t xml:space="preserve"> </w:t>
      </w:r>
      <w:proofErr w:type="spellStart"/>
      <w:r>
        <w:rPr>
          <w:color w:val="auto"/>
        </w:rPr>
        <w:t>co</w:t>
      </w:r>
      <w:r w:rsidRPr="002C1FCF">
        <w:rPr>
          <w:color w:val="auto"/>
        </w:rPr>
        <w:t>infected</w:t>
      </w:r>
      <w:proofErr w:type="spellEnd"/>
      <w:r w:rsidRPr="002C1FCF">
        <w:rPr>
          <w:color w:val="auto"/>
        </w:rPr>
        <w:t xml:space="preserve"> hop plants. The more forward ranking is represented by a redder color.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Figure S9:</w:t>
      </w:r>
      <w:r w:rsidRPr="002C1FCF">
        <w:rPr>
          <w:color w:val="auto"/>
        </w:rPr>
        <w:t xml:space="preserve"> Gene ontology (GO) enrichment analysis of downregulated genes arranged in the biological process category (BP), the cellular component category (CC)</w:t>
      </w:r>
      <w:r>
        <w:rPr>
          <w:color w:val="auto"/>
        </w:rPr>
        <w:t>,</w:t>
      </w:r>
      <w:r w:rsidRPr="002C1FCF">
        <w:rPr>
          <w:color w:val="auto"/>
        </w:rPr>
        <w:t xml:space="preserve"> and the molecular function category (MF), respectively</w:t>
      </w:r>
      <w:r>
        <w:rPr>
          <w:color w:val="auto"/>
        </w:rPr>
        <w:t>,</w:t>
      </w:r>
      <w:r w:rsidRPr="002C1FCF">
        <w:rPr>
          <w:color w:val="auto"/>
        </w:rPr>
        <w:t xml:space="preserve"> in </w:t>
      </w:r>
      <w:proofErr w:type="spellStart"/>
      <w:r w:rsidRPr="002C1FCF">
        <w:rPr>
          <w:color w:val="auto"/>
        </w:rPr>
        <w:t>CBCVd-HLVd</w:t>
      </w:r>
      <w:proofErr w:type="spellEnd"/>
      <w:r w:rsidRPr="002C1FCF">
        <w:rPr>
          <w:color w:val="auto"/>
        </w:rPr>
        <w:t xml:space="preserve"> </w:t>
      </w:r>
      <w:proofErr w:type="spellStart"/>
      <w:r>
        <w:rPr>
          <w:color w:val="auto"/>
        </w:rPr>
        <w:t>co</w:t>
      </w:r>
      <w:r w:rsidRPr="002C1FCF">
        <w:rPr>
          <w:color w:val="auto"/>
        </w:rPr>
        <w:t>infected</w:t>
      </w:r>
      <w:proofErr w:type="spellEnd"/>
      <w:r w:rsidRPr="002C1FCF">
        <w:rPr>
          <w:color w:val="auto"/>
        </w:rPr>
        <w:t xml:space="preserve"> hop plants. The more forward ranking is represented by a redder color.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Figure S10:</w:t>
      </w:r>
      <w:r w:rsidRPr="002C1FCF">
        <w:rPr>
          <w:color w:val="auto"/>
        </w:rPr>
        <w:t xml:space="preserve"> The heat map shows 242 common DEGs in single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, </w:t>
      </w:r>
      <w:proofErr w:type="spellStart"/>
      <w:r w:rsidRPr="002C1FCF">
        <w:rPr>
          <w:color w:val="auto"/>
        </w:rPr>
        <w:t>HLVd</w:t>
      </w:r>
      <w:proofErr w:type="spellEnd"/>
      <w:r>
        <w:rPr>
          <w:color w:val="auto"/>
        </w:rPr>
        <w:t>,</w:t>
      </w:r>
      <w:r w:rsidRPr="002C1FCF">
        <w:rPr>
          <w:color w:val="auto"/>
        </w:rPr>
        <w:t xml:space="preserve"> and mixed </w:t>
      </w:r>
      <w:proofErr w:type="spellStart"/>
      <w:r w:rsidRPr="002C1FCF">
        <w:rPr>
          <w:color w:val="auto"/>
        </w:rPr>
        <w:t>HLVd-CBCVd</w:t>
      </w:r>
      <w:proofErr w:type="spellEnd"/>
      <w:r w:rsidRPr="002C1FCF">
        <w:rPr>
          <w:color w:val="auto"/>
        </w:rPr>
        <w:t xml:space="preserve"> infection compared with control in hop. Fold changes for individual transcript is depicted on a log</w:t>
      </w:r>
      <w:r w:rsidRPr="002C1FCF">
        <w:rPr>
          <w:color w:val="auto"/>
          <w:vertAlign w:val="subscript"/>
        </w:rPr>
        <w:t>2</w:t>
      </w:r>
      <w:r w:rsidRPr="002C1FCF">
        <w:rPr>
          <w:color w:val="auto"/>
        </w:rPr>
        <w:t xml:space="preserve"> scale, with a blue-to-dark-red gradient indicating down-and upregulation, respectively.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Table S1:</w:t>
      </w:r>
      <w:r w:rsidRPr="002C1FCF">
        <w:rPr>
          <w:color w:val="auto"/>
        </w:rPr>
        <w:t xml:space="preserve"> Biolistic inoculation and RT-PCR detection of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 and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 in hop (cv. </w:t>
      </w:r>
      <w:proofErr w:type="spellStart"/>
      <w:r w:rsidRPr="002C1FCF">
        <w:rPr>
          <w:color w:val="auto"/>
        </w:rPr>
        <w:t>Celeia</w:t>
      </w:r>
      <w:proofErr w:type="spellEnd"/>
      <w:r w:rsidRPr="002C1FCF">
        <w:rPr>
          <w:color w:val="auto"/>
        </w:rPr>
        <w:t xml:space="preserve">). </w:t>
      </w:r>
    </w:p>
    <w:p w:rsidR="003620DD" w:rsidRDefault="00D55283" w:rsidP="00D55283">
      <w:pPr>
        <w:pStyle w:val="MDPI62Acknowledgments"/>
        <w:rPr>
          <w:b/>
          <w:color w:val="auto"/>
        </w:rPr>
      </w:pPr>
      <w:r w:rsidRPr="002C1FCF">
        <w:rPr>
          <w:b/>
          <w:color w:val="auto"/>
        </w:rPr>
        <w:t>Table S2:</w:t>
      </w:r>
      <w:r w:rsidRPr="002C1FCF">
        <w:rPr>
          <w:color w:val="auto"/>
        </w:rPr>
        <w:t xml:space="preserve"> Sequencing statistics for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,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,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 + </w:t>
      </w:r>
      <w:proofErr w:type="spellStart"/>
      <w:r w:rsidRPr="002C1FCF">
        <w:rPr>
          <w:color w:val="auto"/>
        </w:rPr>
        <w:t>CBCVd</w:t>
      </w:r>
      <w:proofErr w:type="spellEnd"/>
      <w:r>
        <w:rPr>
          <w:color w:val="auto"/>
        </w:rPr>
        <w:t>,</w:t>
      </w:r>
      <w:r w:rsidRPr="002C1FCF">
        <w:rPr>
          <w:color w:val="auto"/>
        </w:rPr>
        <w:t xml:space="preserve"> and control samples.</w:t>
      </w:r>
      <w:r w:rsidRPr="002C1FCF">
        <w:rPr>
          <w:b/>
          <w:color w:val="auto"/>
        </w:rPr>
        <w:t xml:space="preserve">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Table S3:</w:t>
      </w:r>
      <w:r w:rsidRPr="002C1FCF">
        <w:rPr>
          <w:color w:val="auto"/>
        </w:rPr>
        <w:t xml:space="preserve"> Classification statistics for </w:t>
      </w:r>
      <w:proofErr w:type="spellStart"/>
      <w:r w:rsidRPr="002C1FCF">
        <w:rPr>
          <w:bCs/>
          <w:color w:val="auto"/>
        </w:rPr>
        <w:t>unigenes</w:t>
      </w:r>
      <w:proofErr w:type="spellEnd"/>
      <w:r w:rsidRPr="002C1FCF">
        <w:rPr>
          <w:bCs/>
          <w:color w:val="auto"/>
        </w:rPr>
        <w:t xml:space="preserve"> (UG) and differentially expressed genes [up-regulated (UR) and down-regulated genes (DR)] in </w:t>
      </w:r>
      <w:proofErr w:type="spellStart"/>
      <w:r w:rsidRPr="002C1FCF">
        <w:rPr>
          <w:bCs/>
          <w:color w:val="auto"/>
        </w:rPr>
        <w:t>CBCVd</w:t>
      </w:r>
      <w:proofErr w:type="spellEnd"/>
      <w:r w:rsidRPr="002C1FCF">
        <w:rPr>
          <w:bCs/>
          <w:color w:val="auto"/>
        </w:rPr>
        <w:t xml:space="preserve">, </w:t>
      </w:r>
      <w:proofErr w:type="spellStart"/>
      <w:r w:rsidRPr="002C1FCF">
        <w:rPr>
          <w:bCs/>
          <w:color w:val="auto"/>
        </w:rPr>
        <w:t>HLVd</w:t>
      </w:r>
      <w:proofErr w:type="spellEnd"/>
      <w:r>
        <w:rPr>
          <w:bCs/>
          <w:color w:val="auto"/>
        </w:rPr>
        <w:t>,</w:t>
      </w:r>
      <w:r w:rsidRPr="002C1FCF">
        <w:rPr>
          <w:bCs/>
          <w:color w:val="auto"/>
        </w:rPr>
        <w:t xml:space="preserve"> and </w:t>
      </w:r>
      <w:proofErr w:type="spellStart"/>
      <w:r w:rsidRPr="002C1FCF">
        <w:rPr>
          <w:bCs/>
          <w:color w:val="auto"/>
        </w:rPr>
        <w:t>CBCVd</w:t>
      </w:r>
      <w:proofErr w:type="spellEnd"/>
      <w:r w:rsidRPr="002C1FCF">
        <w:rPr>
          <w:bCs/>
          <w:color w:val="auto"/>
        </w:rPr>
        <w:t xml:space="preserve"> + </w:t>
      </w:r>
      <w:proofErr w:type="spellStart"/>
      <w:r w:rsidRPr="002C1FCF">
        <w:rPr>
          <w:bCs/>
          <w:color w:val="auto"/>
        </w:rPr>
        <w:t>HLVd</w:t>
      </w:r>
      <w:proofErr w:type="spellEnd"/>
      <w:r w:rsidRPr="002C1FCF">
        <w:rPr>
          <w:bCs/>
          <w:color w:val="auto"/>
        </w:rPr>
        <w:t xml:space="preserve"> infected hop plant </w:t>
      </w:r>
      <w:r w:rsidRPr="002C1FCF">
        <w:rPr>
          <w:color w:val="auto"/>
        </w:rPr>
        <w:t xml:space="preserve">according to KEGG pathway analysis.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Table S4:</w:t>
      </w:r>
      <w:r w:rsidRPr="002C1FCF">
        <w:rPr>
          <w:color w:val="auto"/>
        </w:rPr>
        <w:t xml:space="preserve"> The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 xml:space="preserve"> differentially expressed between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 infected and mock inoculated hop plants.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Table S5:</w:t>
      </w:r>
      <w:r w:rsidRPr="002C1FCF">
        <w:rPr>
          <w:color w:val="auto"/>
        </w:rPr>
        <w:t xml:space="preserve"> The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 xml:space="preserve"> differentially expressed between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 infected and mock inoculated hop plants. </w:t>
      </w:r>
    </w:p>
    <w:p w:rsidR="003620DD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Table S6:</w:t>
      </w:r>
      <w:r w:rsidRPr="002C1FCF">
        <w:rPr>
          <w:color w:val="auto"/>
        </w:rPr>
        <w:t xml:space="preserve"> The </w:t>
      </w:r>
      <w:proofErr w:type="spellStart"/>
      <w:r w:rsidRPr="002C1FCF">
        <w:rPr>
          <w:color w:val="auto"/>
        </w:rPr>
        <w:t>unigenes</w:t>
      </w:r>
      <w:proofErr w:type="spellEnd"/>
      <w:r w:rsidRPr="002C1FCF">
        <w:rPr>
          <w:color w:val="auto"/>
        </w:rPr>
        <w:t xml:space="preserve"> differentially expressed between </w:t>
      </w:r>
      <w:proofErr w:type="spellStart"/>
      <w:r w:rsidRPr="002C1FCF">
        <w:rPr>
          <w:color w:val="auto"/>
        </w:rPr>
        <w:t>HLVd-CBCVd</w:t>
      </w:r>
      <w:proofErr w:type="spellEnd"/>
      <w:r w:rsidRPr="002C1FCF">
        <w:rPr>
          <w:color w:val="auto"/>
        </w:rPr>
        <w:t xml:space="preserve"> </w:t>
      </w:r>
      <w:proofErr w:type="spellStart"/>
      <w:r>
        <w:rPr>
          <w:color w:val="auto"/>
        </w:rPr>
        <w:t>co</w:t>
      </w:r>
      <w:r w:rsidRPr="002C1FCF">
        <w:rPr>
          <w:color w:val="auto"/>
        </w:rPr>
        <w:t>infected</w:t>
      </w:r>
      <w:proofErr w:type="spellEnd"/>
      <w:r w:rsidRPr="002C1FCF">
        <w:rPr>
          <w:color w:val="auto"/>
        </w:rPr>
        <w:t xml:space="preserve"> and mock inoculated hop plants. The raw RNA-</w:t>
      </w:r>
      <w:proofErr w:type="spellStart"/>
      <w:r w:rsidRPr="002C1FCF">
        <w:rPr>
          <w:color w:val="auto"/>
        </w:rPr>
        <w:t>seq</w:t>
      </w:r>
      <w:proofErr w:type="spellEnd"/>
      <w:r w:rsidRPr="002C1FCF">
        <w:rPr>
          <w:color w:val="auto"/>
        </w:rPr>
        <w:t xml:space="preserve"> were submitted to Sequence Read Archive (SRA) for public availability. </w:t>
      </w:r>
    </w:p>
    <w:p w:rsidR="00055DDB" w:rsidRPr="00D55283" w:rsidRDefault="00D55283" w:rsidP="00D55283">
      <w:pPr>
        <w:pStyle w:val="MDPI62Acknowledgments"/>
        <w:rPr>
          <w:color w:val="auto"/>
        </w:rPr>
      </w:pPr>
      <w:r w:rsidRPr="002C1FCF">
        <w:rPr>
          <w:b/>
          <w:color w:val="auto"/>
        </w:rPr>
        <w:t>Table S7:</w:t>
      </w:r>
      <w:r w:rsidRPr="002C1FCF">
        <w:rPr>
          <w:color w:val="auto"/>
        </w:rPr>
        <w:t xml:space="preserve"> Gene ontology (GO) functional enrichment analysis of differentially expressed genes in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, </w:t>
      </w:r>
      <w:proofErr w:type="spellStart"/>
      <w:r w:rsidRPr="002C1FCF">
        <w:rPr>
          <w:color w:val="auto"/>
        </w:rPr>
        <w:t>HLVd</w:t>
      </w:r>
      <w:proofErr w:type="spellEnd"/>
      <w:r>
        <w:rPr>
          <w:color w:val="auto"/>
        </w:rPr>
        <w:t>,</w:t>
      </w:r>
      <w:r w:rsidRPr="002C1FCF">
        <w:rPr>
          <w:color w:val="auto"/>
        </w:rPr>
        <w:t xml:space="preserve"> and </w:t>
      </w:r>
      <w:proofErr w:type="spellStart"/>
      <w:r w:rsidRPr="002C1FCF">
        <w:rPr>
          <w:color w:val="auto"/>
        </w:rPr>
        <w:t>CBCVd</w:t>
      </w:r>
      <w:proofErr w:type="spellEnd"/>
      <w:r w:rsidRPr="002C1FCF">
        <w:rPr>
          <w:color w:val="auto"/>
        </w:rPr>
        <w:t xml:space="preserve"> + </w:t>
      </w:r>
      <w:proofErr w:type="spellStart"/>
      <w:r w:rsidRPr="002C1FCF">
        <w:rPr>
          <w:color w:val="auto"/>
        </w:rPr>
        <w:t>HLVd</w:t>
      </w:r>
      <w:proofErr w:type="spellEnd"/>
      <w:r w:rsidRPr="002C1FCF">
        <w:rPr>
          <w:color w:val="auto"/>
        </w:rPr>
        <w:t xml:space="preserve"> infected </w:t>
      </w:r>
      <w:bookmarkStart w:id="1" w:name="_GoBack"/>
      <w:bookmarkEnd w:id="1"/>
      <w:r w:rsidRPr="002C1FCF">
        <w:rPr>
          <w:color w:val="auto"/>
        </w:rPr>
        <w:t>hop.</w:t>
      </w:r>
      <w:r w:rsidRPr="00C60743">
        <w:rPr>
          <w:rFonts w:ascii="Times New Roman" w:hAnsi="Times New Roman"/>
          <w:snapToGrid/>
          <w:color w:val="auto"/>
          <w:sz w:val="24"/>
          <w:lang w:bidi="ar-SA"/>
        </w:rPr>
        <w:t xml:space="preserve"> </w:t>
      </w:r>
      <w:r w:rsidRPr="002C1FCF">
        <w:rPr>
          <w:b/>
          <w:color w:val="auto"/>
        </w:rPr>
        <w:t>Table S8:</w:t>
      </w:r>
      <w:r w:rsidRPr="002C1FCF">
        <w:rPr>
          <w:color w:val="auto"/>
        </w:rPr>
        <w:t xml:space="preserve"> Primers used for </w:t>
      </w:r>
      <w:proofErr w:type="spellStart"/>
      <w:r w:rsidRPr="002C1FCF">
        <w:rPr>
          <w:color w:val="auto"/>
        </w:rPr>
        <w:t>qRT</w:t>
      </w:r>
      <w:proofErr w:type="spellEnd"/>
      <w:r w:rsidRPr="002C1FCF">
        <w:rPr>
          <w:color w:val="auto"/>
        </w:rPr>
        <w:t>-PCR analyses.</w:t>
      </w:r>
    </w:p>
    <w:sectPr w:rsidR="00055DDB" w:rsidRPr="00D55283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0B0" w:rsidRDefault="004810B0" w:rsidP="00C1340D">
      <w:r>
        <w:separator/>
      </w:r>
    </w:p>
  </w:endnote>
  <w:endnote w:type="continuationSeparator" w:id="0">
    <w:p w:rsidR="004810B0" w:rsidRDefault="004810B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4810B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3620DD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0B0" w:rsidRDefault="004810B0" w:rsidP="00C1340D">
      <w:r>
        <w:separator/>
      </w:r>
    </w:p>
  </w:footnote>
  <w:footnote w:type="continuationSeparator" w:id="0">
    <w:p w:rsidR="004810B0" w:rsidRDefault="004810B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D1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7D1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0DD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0B0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8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658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3F0E5D33-9A37-43FF-9721-126C5506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49EEF-590B-44D2-93F4-CD640E28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</Words>
  <Characters>3659</Characters>
  <Application>Microsoft Office Word</Application>
  <DocSecurity>0</DocSecurity>
  <Lines>44</Lines>
  <Paragraphs>17</Paragraphs>
  <ScaleCrop>false</ScaleCrop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2019-06-26T07:50:00Z</dcterms:created>
  <dcterms:modified xsi:type="dcterms:W3CDTF">2019-06-26T07:51:00Z</dcterms:modified>
</cp:coreProperties>
</file>