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A7815" w14:textId="77777777" w:rsidR="007665AC" w:rsidRPr="0065323D" w:rsidRDefault="007665AC" w:rsidP="007665AC">
      <w:pPr>
        <w:pStyle w:val="MDPI52figure"/>
      </w:pPr>
      <w:r w:rsidRPr="0065323D">
        <w:rPr>
          <w:noProof/>
          <w:lang w:eastAsia="zh-CN"/>
        </w:rPr>
        <w:drawing>
          <wp:inline distT="0" distB="0" distL="0" distR="0" wp14:anchorId="4EB6A13B" wp14:editId="4F542102">
            <wp:extent cx="3839779" cy="2531659"/>
            <wp:effectExtent l="0" t="0" r="8890" b="254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393" cy="2539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4D7F57" w14:textId="77777777" w:rsidR="007665AC" w:rsidRPr="00202703" w:rsidRDefault="007665AC" w:rsidP="007665AC">
      <w:pPr>
        <w:pStyle w:val="MDPI51figurecaption"/>
        <w:ind w:left="720"/>
      </w:pPr>
      <w:r w:rsidRPr="00202703">
        <w:rPr>
          <w:b/>
        </w:rPr>
        <w:t xml:space="preserve">Figure </w:t>
      </w:r>
      <w:r>
        <w:rPr>
          <w:b/>
        </w:rPr>
        <w:t>S</w:t>
      </w:r>
      <w:r w:rsidRPr="00202703">
        <w:rPr>
          <w:b/>
        </w:rPr>
        <w:t xml:space="preserve">1. </w:t>
      </w:r>
      <w:r w:rsidRPr="0065323D">
        <w:rPr>
          <w:b/>
        </w:rPr>
        <w:t>Influence of the ACC treatment on gene expression.</w:t>
      </w:r>
      <w:r>
        <w:rPr>
          <w:b/>
        </w:rPr>
        <w:t xml:space="preserve"> </w:t>
      </w:r>
      <w:r w:rsidRPr="0065323D">
        <w:t>Expression of the auxin biosynthesis (</w:t>
      </w:r>
      <w:r w:rsidRPr="0065323D">
        <w:rPr>
          <w:i/>
        </w:rPr>
        <w:t>TRP2</w:t>
      </w:r>
      <w:r w:rsidRPr="0065323D">
        <w:t xml:space="preserve">, </w:t>
      </w:r>
      <w:r w:rsidRPr="0065323D">
        <w:rPr>
          <w:i/>
        </w:rPr>
        <w:t>TRP3</w:t>
      </w:r>
      <w:r w:rsidRPr="0065323D">
        <w:t xml:space="preserve">, </w:t>
      </w:r>
      <w:r w:rsidRPr="0065323D">
        <w:rPr>
          <w:i/>
        </w:rPr>
        <w:t>TAA1</w:t>
      </w:r>
      <w:r w:rsidRPr="0065323D">
        <w:t xml:space="preserve">, </w:t>
      </w:r>
      <w:r w:rsidRPr="0065323D">
        <w:rPr>
          <w:i/>
        </w:rPr>
        <w:t>AMI1</w:t>
      </w:r>
      <w:r w:rsidRPr="0065323D">
        <w:t xml:space="preserve">, </w:t>
      </w:r>
      <w:r w:rsidRPr="0065323D">
        <w:rPr>
          <w:i/>
        </w:rPr>
        <w:t>YUCCA3</w:t>
      </w:r>
      <w:r w:rsidRPr="0065323D">
        <w:t xml:space="preserve">, </w:t>
      </w:r>
      <w:r w:rsidRPr="0065323D">
        <w:rPr>
          <w:i/>
        </w:rPr>
        <w:t>NIT3</w:t>
      </w:r>
      <w:r w:rsidRPr="0065323D">
        <w:t xml:space="preserve">, </w:t>
      </w:r>
      <w:r w:rsidRPr="0065323D">
        <w:rPr>
          <w:i/>
        </w:rPr>
        <w:t>CYP83B</w:t>
      </w:r>
      <w:r w:rsidRPr="0065323D">
        <w:t>) and catabolism (</w:t>
      </w:r>
      <w:r w:rsidRPr="0065323D">
        <w:rPr>
          <w:i/>
        </w:rPr>
        <w:t>GH3.2</w:t>
      </w:r>
      <w:r w:rsidRPr="0065323D">
        <w:t xml:space="preserve">) genes, without and with 10 </w:t>
      </w:r>
      <w:proofErr w:type="spellStart"/>
      <w:r w:rsidRPr="0065323D">
        <w:t>μM</w:t>
      </w:r>
      <w:proofErr w:type="spellEnd"/>
      <w:r w:rsidRPr="0065323D">
        <w:t xml:space="preserve"> ACC treatments from 3 days old wild type (Col-0) and mutant (At</w:t>
      </w:r>
      <w:r w:rsidRPr="0065323D">
        <w:rPr>
          <w:i/>
        </w:rPr>
        <w:t>crk5-1</w:t>
      </w:r>
      <w:r w:rsidRPr="0065323D">
        <w:t>)</w:t>
      </w:r>
      <w:r w:rsidRPr="0065323D">
        <w:rPr>
          <w:i/>
        </w:rPr>
        <w:t xml:space="preserve"> Arabidopsis</w:t>
      </w:r>
      <w:r w:rsidRPr="0065323D">
        <w:t xml:space="preserve"> seedlings. As an endogenous control </w:t>
      </w:r>
      <w:r w:rsidRPr="0065323D">
        <w:rPr>
          <w:i/>
        </w:rPr>
        <w:t>GADPH2</w:t>
      </w:r>
      <w:r w:rsidRPr="0065323D">
        <w:t xml:space="preserve"> was used. SE values </w:t>
      </w:r>
      <w:proofErr w:type="spellStart"/>
      <w:r w:rsidRPr="0065323D">
        <w:t>arised</w:t>
      </w:r>
      <w:proofErr w:type="spellEnd"/>
      <w:r w:rsidRPr="0065323D">
        <w:t xml:space="preserve"> from two independent experiments.</w:t>
      </w:r>
    </w:p>
    <w:p w14:paraId="231B11E9" w14:textId="77777777" w:rsidR="007665AC" w:rsidRPr="0065323D" w:rsidRDefault="007665AC" w:rsidP="007665AC">
      <w:pPr>
        <w:pStyle w:val="MDPI52figure"/>
      </w:pPr>
      <w:r w:rsidRPr="0065323D">
        <w:rPr>
          <w:noProof/>
          <w:snapToGrid/>
          <w:lang w:eastAsia="zh-CN"/>
        </w:rPr>
        <w:drawing>
          <wp:inline distT="0" distB="0" distL="0" distR="0" wp14:anchorId="69833BFD" wp14:editId="6AA1592F">
            <wp:extent cx="4299912" cy="2927444"/>
            <wp:effectExtent l="0" t="0" r="5715" b="6350"/>
            <wp:docPr id="29" name="Kép 29" descr="C:\Users\Bayer\Desktop\Baba et al Supplimental Figure 2_Rev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yer\Desktop\Baba et al Supplimental Figure 2_Rev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159" cy="2931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AE14C" w14:textId="77777777" w:rsidR="007665AC" w:rsidRPr="00202703" w:rsidRDefault="007665AC" w:rsidP="007665AC">
      <w:pPr>
        <w:pStyle w:val="MDPI51figurecaption"/>
        <w:ind w:left="720"/>
      </w:pPr>
      <w:r w:rsidRPr="00202703">
        <w:rPr>
          <w:b/>
        </w:rPr>
        <w:t xml:space="preserve">Figure </w:t>
      </w:r>
      <w:r>
        <w:rPr>
          <w:b/>
        </w:rPr>
        <w:t>S</w:t>
      </w:r>
      <w:r w:rsidRPr="00202703">
        <w:rPr>
          <w:b/>
        </w:rPr>
        <w:t xml:space="preserve">2. </w:t>
      </w:r>
      <w:r w:rsidRPr="0065323D">
        <w:rPr>
          <w:b/>
        </w:rPr>
        <w:t>Gene expression upon ACC treatment.</w:t>
      </w:r>
      <w:r w:rsidRPr="0065323D">
        <w:t xml:space="preserve"> Expression of the ethylene biosynthesis (</w:t>
      </w:r>
      <w:r w:rsidRPr="0065323D">
        <w:rPr>
          <w:i/>
        </w:rPr>
        <w:t>ACS5</w:t>
      </w:r>
      <w:r w:rsidRPr="0065323D">
        <w:t xml:space="preserve">, </w:t>
      </w:r>
      <w:r w:rsidRPr="0065323D">
        <w:rPr>
          <w:i/>
        </w:rPr>
        <w:t>ACS7</w:t>
      </w:r>
      <w:r w:rsidRPr="0065323D">
        <w:t xml:space="preserve"> and </w:t>
      </w:r>
      <w:r w:rsidRPr="0065323D">
        <w:rPr>
          <w:i/>
        </w:rPr>
        <w:t>ACS8</w:t>
      </w:r>
      <w:r w:rsidRPr="0065323D">
        <w:t>) and ethylene signaling (</w:t>
      </w:r>
      <w:r w:rsidRPr="0065323D">
        <w:rPr>
          <w:i/>
        </w:rPr>
        <w:t>EIN3</w:t>
      </w:r>
      <w:r w:rsidRPr="0065323D">
        <w:t xml:space="preserve">, </w:t>
      </w:r>
      <w:r w:rsidRPr="0065323D">
        <w:rPr>
          <w:i/>
        </w:rPr>
        <w:t>HLS1</w:t>
      </w:r>
      <w:r w:rsidRPr="0065323D">
        <w:t xml:space="preserve">) genes were measured by </w:t>
      </w:r>
      <w:proofErr w:type="spellStart"/>
      <w:r w:rsidRPr="0065323D">
        <w:t>qRT</w:t>
      </w:r>
      <w:proofErr w:type="spellEnd"/>
      <w:r w:rsidRPr="0065323D">
        <w:t xml:space="preserve">-PCR without and with 10 </w:t>
      </w:r>
      <w:proofErr w:type="spellStart"/>
      <w:r w:rsidRPr="0065323D">
        <w:t>μM</w:t>
      </w:r>
      <w:proofErr w:type="spellEnd"/>
      <w:r w:rsidRPr="0065323D">
        <w:t xml:space="preserve"> ACC treatments from 3 days old wild type (Col-0) and mutant (At</w:t>
      </w:r>
      <w:r w:rsidRPr="0065323D">
        <w:rPr>
          <w:i/>
        </w:rPr>
        <w:t>crk5-1</w:t>
      </w:r>
      <w:r w:rsidRPr="0065323D">
        <w:t>)</w:t>
      </w:r>
      <w:r w:rsidRPr="0065323D">
        <w:rPr>
          <w:i/>
        </w:rPr>
        <w:t xml:space="preserve"> Arabidopsis</w:t>
      </w:r>
      <w:r w:rsidRPr="0065323D">
        <w:t xml:space="preserve"> seedlings. As an endogenous control </w:t>
      </w:r>
      <w:r w:rsidRPr="0065323D">
        <w:rPr>
          <w:i/>
        </w:rPr>
        <w:t>GADPH2</w:t>
      </w:r>
      <w:r w:rsidRPr="0065323D">
        <w:t xml:space="preserve"> was used. SE values </w:t>
      </w:r>
      <w:proofErr w:type="spellStart"/>
      <w:r w:rsidRPr="0065323D">
        <w:t>arised</w:t>
      </w:r>
      <w:proofErr w:type="spellEnd"/>
      <w:r w:rsidRPr="0065323D">
        <w:t xml:space="preserve"> from two independent experiments.</w:t>
      </w:r>
    </w:p>
    <w:p w14:paraId="4AF20FA7" w14:textId="77777777" w:rsidR="007665AC" w:rsidRPr="0065323D" w:rsidRDefault="007665AC" w:rsidP="007665AC">
      <w:pPr>
        <w:pStyle w:val="MDPI52figure"/>
      </w:pPr>
      <w:r w:rsidRPr="0065323D">
        <w:rPr>
          <w:noProof/>
          <w:snapToGrid/>
          <w:lang w:eastAsia="zh-CN"/>
        </w:rPr>
        <w:lastRenderedPageBreak/>
        <w:drawing>
          <wp:inline distT="0" distB="0" distL="0" distR="0" wp14:anchorId="4AE75F14" wp14:editId="29375789">
            <wp:extent cx="3951715" cy="2395182"/>
            <wp:effectExtent l="0" t="0" r="0" b="5715"/>
            <wp:docPr id="30" name="Kép 30" descr="C:\Users\Bayer\Desktop\Baba et al Supplimental Figure 3_Rev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yer\Desktop\Baba et al Supplimental Figure 3_Rev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960" cy="240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F5ADA" w14:textId="77777777" w:rsidR="007665AC" w:rsidRPr="00202703" w:rsidRDefault="007665AC" w:rsidP="007665AC">
      <w:pPr>
        <w:pStyle w:val="MDPI51figurecaption"/>
        <w:ind w:left="720"/>
        <w:rPr>
          <w:b/>
          <w:color w:val="auto"/>
        </w:rPr>
      </w:pPr>
      <w:r w:rsidRPr="00202703">
        <w:rPr>
          <w:b/>
        </w:rPr>
        <w:t xml:space="preserve">Figure </w:t>
      </w:r>
      <w:r>
        <w:rPr>
          <w:b/>
        </w:rPr>
        <w:t>S</w:t>
      </w:r>
      <w:r w:rsidRPr="00202703">
        <w:rPr>
          <w:b/>
        </w:rPr>
        <w:t xml:space="preserve">3. </w:t>
      </w:r>
      <w:r w:rsidRPr="00202703">
        <w:rPr>
          <w:bCs/>
        </w:rPr>
        <w:t>Gene expression upon ACC treatment.</w:t>
      </w:r>
      <w:r w:rsidRPr="0065323D">
        <w:t xml:space="preserve"> Expression of the polar auxin transport (</w:t>
      </w:r>
      <w:r w:rsidRPr="0065323D">
        <w:rPr>
          <w:i/>
        </w:rPr>
        <w:t>AUX1</w:t>
      </w:r>
      <w:r w:rsidRPr="0065323D">
        <w:t xml:space="preserve">, </w:t>
      </w:r>
      <w:r w:rsidRPr="0065323D">
        <w:rPr>
          <w:i/>
        </w:rPr>
        <w:t>LAX3</w:t>
      </w:r>
      <w:r w:rsidRPr="0065323D">
        <w:t xml:space="preserve">, </w:t>
      </w:r>
      <w:r w:rsidRPr="0065323D">
        <w:rPr>
          <w:i/>
        </w:rPr>
        <w:t>PIN1</w:t>
      </w:r>
      <w:r w:rsidRPr="0065323D">
        <w:t xml:space="preserve">, </w:t>
      </w:r>
      <w:r w:rsidRPr="0065323D">
        <w:rPr>
          <w:i/>
        </w:rPr>
        <w:t>PIN3</w:t>
      </w:r>
      <w:r w:rsidRPr="0065323D">
        <w:t xml:space="preserve"> and </w:t>
      </w:r>
      <w:r w:rsidRPr="0065323D">
        <w:rPr>
          <w:i/>
        </w:rPr>
        <w:t>PIN4</w:t>
      </w:r>
      <w:r w:rsidRPr="0065323D">
        <w:t xml:space="preserve">) genes were measured by </w:t>
      </w:r>
      <w:proofErr w:type="spellStart"/>
      <w:r w:rsidRPr="0065323D">
        <w:t>qRT</w:t>
      </w:r>
      <w:proofErr w:type="spellEnd"/>
      <w:r w:rsidRPr="0065323D">
        <w:t xml:space="preserve">-PCR without and with 10 </w:t>
      </w:r>
      <w:proofErr w:type="spellStart"/>
      <w:r w:rsidRPr="0065323D">
        <w:rPr>
          <w:szCs w:val="18"/>
        </w:rPr>
        <w:t>μ</w:t>
      </w:r>
      <w:r w:rsidRPr="0065323D">
        <w:t>M</w:t>
      </w:r>
      <w:proofErr w:type="spellEnd"/>
      <w:r w:rsidRPr="0065323D">
        <w:t xml:space="preserve"> ACC treatments from 3 days old wild type (Col-0) and mutant (At</w:t>
      </w:r>
      <w:r w:rsidRPr="0065323D">
        <w:rPr>
          <w:i/>
        </w:rPr>
        <w:t>crk5-1</w:t>
      </w:r>
      <w:r w:rsidRPr="0065323D">
        <w:t>)</w:t>
      </w:r>
      <w:r w:rsidRPr="0065323D">
        <w:rPr>
          <w:i/>
        </w:rPr>
        <w:t xml:space="preserve"> Arabidopsis</w:t>
      </w:r>
      <w:r w:rsidRPr="0065323D">
        <w:t xml:space="preserve"> seedlings. As an endogenous control </w:t>
      </w:r>
      <w:r w:rsidRPr="0065323D">
        <w:rPr>
          <w:i/>
        </w:rPr>
        <w:t>GADPH2</w:t>
      </w:r>
      <w:r w:rsidRPr="0065323D">
        <w:t xml:space="preserve"> was used. SE values </w:t>
      </w:r>
      <w:proofErr w:type="spellStart"/>
      <w:r w:rsidRPr="0065323D">
        <w:t>arised</w:t>
      </w:r>
      <w:proofErr w:type="spellEnd"/>
      <w:r w:rsidRPr="0065323D">
        <w:t xml:space="preserve"> from two independent experiments.</w:t>
      </w:r>
    </w:p>
    <w:p w14:paraId="58B31E7A" w14:textId="11220C3C" w:rsidR="00055DDB" w:rsidRPr="00FE2B68" w:rsidRDefault="007665AC" w:rsidP="007665AC">
      <w:pPr>
        <w:pStyle w:val="MDPI71References"/>
        <w:numPr>
          <w:ilvl w:val="0"/>
          <w:numId w:val="0"/>
        </w:numPr>
        <w:adjustRightInd w:val="0"/>
        <w:snapToGrid w:val="0"/>
        <w:spacing w:line="240" w:lineRule="auto"/>
        <w:ind w:left="720"/>
        <w:rPr>
          <w:b/>
        </w:rPr>
      </w:pPr>
      <w:r w:rsidRPr="0065323D">
        <w:rPr>
          <w:b/>
        </w:rPr>
        <w:t>Supplemental Table 1.</w:t>
      </w:r>
      <w:r>
        <w:rPr>
          <w:b/>
        </w:rPr>
        <w:t xml:space="preserve"> </w:t>
      </w:r>
      <w:r w:rsidRPr="0065323D">
        <w:t>List of the primers used in this study.</w:t>
      </w:r>
      <w:bookmarkStart w:id="0" w:name="_GoBack"/>
      <w:bookmarkEnd w:id="0"/>
    </w:p>
    <w:sectPr w:rsidR="00055DDB" w:rsidRPr="00FE2B68" w:rsidSect="00E131E4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C1E04" w14:textId="77777777" w:rsidR="00DF7690" w:rsidRDefault="00DF7690" w:rsidP="00C1340D">
      <w:r>
        <w:separator/>
      </w:r>
    </w:p>
  </w:endnote>
  <w:endnote w:type="continuationSeparator" w:id="0">
    <w:p w14:paraId="7D65E789" w14:textId="77777777" w:rsidR="00DF7690" w:rsidRDefault="00DF769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474D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37CCBFD7" w14:textId="77777777" w:rsidR="00E27016" w:rsidRDefault="00DF7690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44E85E8A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9D3E6" w14:textId="77777777" w:rsidR="00DF7690" w:rsidRDefault="00DF7690" w:rsidP="00C1340D">
      <w:r>
        <w:separator/>
      </w:r>
    </w:p>
  </w:footnote>
  <w:footnote w:type="continuationSeparator" w:id="0">
    <w:p w14:paraId="131BF7AD" w14:textId="77777777" w:rsidR="00DF7690" w:rsidRDefault="00DF769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5193E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B8924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4ED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17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800"/>
    <w:rsid w:val="00063B28"/>
    <w:rsid w:val="00063B6C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340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09F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5EF"/>
    <w:rsid w:val="00155CF8"/>
    <w:rsid w:val="00155D9E"/>
    <w:rsid w:val="00155F45"/>
    <w:rsid w:val="00156006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D86"/>
    <w:rsid w:val="00235077"/>
    <w:rsid w:val="00235511"/>
    <w:rsid w:val="00235973"/>
    <w:rsid w:val="00235C09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119C"/>
    <w:rsid w:val="00241358"/>
    <w:rsid w:val="0024141E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978"/>
    <w:rsid w:val="00271999"/>
    <w:rsid w:val="00271B24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67F"/>
    <w:rsid w:val="0038670D"/>
    <w:rsid w:val="003867FB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59AB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92"/>
    <w:rsid w:val="00517C77"/>
    <w:rsid w:val="00517CD4"/>
    <w:rsid w:val="00517F4B"/>
    <w:rsid w:val="00520565"/>
    <w:rsid w:val="00520C33"/>
    <w:rsid w:val="00520CA6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A50"/>
    <w:rsid w:val="006A2AEE"/>
    <w:rsid w:val="006A2D4F"/>
    <w:rsid w:val="006A2DA4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5AC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53"/>
    <w:rsid w:val="007B67CF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097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83A"/>
    <w:rsid w:val="009428F0"/>
    <w:rsid w:val="0094295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959"/>
    <w:rsid w:val="00AA2D16"/>
    <w:rsid w:val="00AA2F71"/>
    <w:rsid w:val="00AA33CB"/>
    <w:rsid w:val="00AA379A"/>
    <w:rsid w:val="00AA3985"/>
    <w:rsid w:val="00AA3AD2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E74"/>
    <w:rsid w:val="00AC2E8D"/>
    <w:rsid w:val="00AC3283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D31"/>
    <w:rsid w:val="00D64D99"/>
    <w:rsid w:val="00D6520A"/>
    <w:rsid w:val="00D65295"/>
    <w:rsid w:val="00D652A9"/>
    <w:rsid w:val="00D6533F"/>
    <w:rsid w:val="00D6543D"/>
    <w:rsid w:val="00D655E7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4ED"/>
    <w:rsid w:val="00DF6573"/>
    <w:rsid w:val="00DF67F8"/>
    <w:rsid w:val="00DF6C2E"/>
    <w:rsid w:val="00DF6C7D"/>
    <w:rsid w:val="00DF6D64"/>
    <w:rsid w:val="00DF6E6A"/>
    <w:rsid w:val="00DF7105"/>
    <w:rsid w:val="00DF729D"/>
    <w:rsid w:val="00DF7690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6D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B68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CBF84044-2B9D-4890-8C97-804DBC9F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AEB00-41C2-4F93-B557-38BE4C73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186</Words>
  <Characters>1010</Characters>
  <Application>Microsoft Office Word</Application>
  <DocSecurity>0</DocSecurity>
  <Lines>18</Lines>
  <Paragraphs>4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2019-07-08T03:49:00Z</dcterms:created>
  <dcterms:modified xsi:type="dcterms:W3CDTF">2019-07-10T01:28:00Z</dcterms:modified>
</cp:coreProperties>
</file>