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22CB9" w:rsidRPr="001D1E90" w:rsidRDefault="000A218F" w:rsidP="00BF17A7">
      <w:pPr>
        <w:tabs>
          <w:tab w:val="center" w:pos="4513"/>
        </w:tabs>
        <w:rPr>
          <w:rFonts w:ascii="Palatino Linotype" w:hAnsi="Palatino Linotype"/>
          <w:b/>
          <w:u w:val="single"/>
        </w:rPr>
      </w:pPr>
      <w:r w:rsidRPr="001D1E90">
        <w:rPr>
          <w:rFonts w:ascii="Palatino Linotype" w:hAnsi="Palatino Linotype"/>
          <w:b/>
          <w:u w:val="single"/>
        </w:rPr>
        <w:t>Supplementary Figures</w:t>
      </w:r>
      <w:r w:rsidR="00BB2369" w:rsidRPr="001D1E90">
        <w:rPr>
          <w:rFonts w:ascii="Palatino Linotype" w:hAnsi="Palatino Linotype"/>
          <w:b/>
          <w:u w:val="single"/>
        </w:rPr>
        <w:t xml:space="preserve"> – Total </w:t>
      </w:r>
      <w:r w:rsidR="00BF17A7" w:rsidRPr="001D1E90">
        <w:rPr>
          <w:rFonts w:ascii="Palatino Linotype" w:hAnsi="Palatino Linotype"/>
          <w:b/>
          <w:u w:val="single"/>
        </w:rPr>
        <w:t>6</w:t>
      </w:r>
    </w:p>
    <w:p w:rsidR="00C02E20" w:rsidRPr="001D1E90" w:rsidRDefault="00C02E20" w:rsidP="00C02E20">
      <w:pPr>
        <w:rPr>
          <w:rFonts w:ascii="Palatino Linotype" w:hAnsi="Palatino Linotype"/>
        </w:rPr>
      </w:pPr>
      <w:r w:rsidRPr="001D1E90">
        <w:t xml:space="preserve">1a. </w:t>
      </w:r>
      <w:r w:rsidRPr="001D1E90">
        <w:rPr>
          <w:rFonts w:ascii="Palatino Linotype" w:hAnsi="Palatino Linotype"/>
          <w:u w:val="single"/>
        </w:rPr>
        <w:t xml:space="preserve">Regression lines of </w:t>
      </w:r>
      <w:r w:rsidR="00100476" w:rsidRPr="001D1E90">
        <w:rPr>
          <w:rFonts w:ascii="Palatino Linotype" w:hAnsi="Palatino Linotype"/>
          <w:u w:val="single"/>
        </w:rPr>
        <w:t>peroxidase (</w:t>
      </w:r>
      <w:r w:rsidRPr="001D1E90">
        <w:rPr>
          <w:rFonts w:ascii="Palatino Linotype" w:hAnsi="Palatino Linotype"/>
          <w:u w:val="single"/>
        </w:rPr>
        <w:t>POD</w:t>
      </w:r>
      <w:r w:rsidR="00100476" w:rsidRPr="001D1E90">
        <w:rPr>
          <w:rFonts w:ascii="Palatino Linotype" w:hAnsi="Palatino Linotype"/>
          <w:u w:val="single"/>
        </w:rPr>
        <w:t>)</w:t>
      </w:r>
      <w:r w:rsidRPr="001D1E90">
        <w:rPr>
          <w:rFonts w:ascii="Palatino Linotype" w:hAnsi="Palatino Linotype"/>
          <w:u w:val="single"/>
        </w:rPr>
        <w:t xml:space="preserve"> activity</w:t>
      </w:r>
      <w:r w:rsidRPr="001D1E90">
        <w:rPr>
          <w:rFonts w:ascii="Palatino Linotype" w:hAnsi="Palatino Linotype"/>
        </w:rPr>
        <w:t xml:space="preserve">  </w:t>
      </w:r>
    </w:p>
    <w:p w:rsidR="00C02E20" w:rsidRDefault="00C02E20" w:rsidP="00C02E20">
      <w:r w:rsidRPr="001D1E90">
        <w:rPr>
          <w:noProof/>
        </w:rPr>
        <w:drawing>
          <wp:inline distT="0" distB="0" distL="0" distR="0" wp14:anchorId="489F45D7" wp14:editId="21472C50">
            <wp:extent cx="5734050" cy="6934200"/>
            <wp:effectExtent l="0" t="0" r="19050" b="1905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p>
    <w:p w:rsidR="00E7267F" w:rsidRDefault="00E7267F" w:rsidP="00C02E20"/>
    <w:p w:rsidR="00E7267F" w:rsidRDefault="00E7267F" w:rsidP="00C02E20"/>
    <w:p w:rsidR="00E7267F" w:rsidRDefault="00E7267F" w:rsidP="00C02E20"/>
    <w:p w:rsidR="00E7267F" w:rsidRDefault="00DA500D" w:rsidP="00C02E20">
      <w:r>
        <w:rPr>
          <w:rFonts w:ascii="Palatino Linotype" w:hAnsi="Palatino Linotype"/>
          <w:sz w:val="20"/>
          <w:szCs w:val="20"/>
        </w:rPr>
        <w:lastRenderedPageBreak/>
        <w:t>1</w:t>
      </w:r>
      <w:r w:rsidR="00E7267F" w:rsidRPr="00DA500D">
        <w:rPr>
          <w:rFonts w:ascii="Palatino Linotype" w:hAnsi="Palatino Linotype"/>
          <w:sz w:val="20"/>
          <w:szCs w:val="20"/>
        </w:rPr>
        <w:t xml:space="preserve">(b) </w:t>
      </w:r>
      <w:r w:rsidR="00E7267F" w:rsidRPr="00DA500D">
        <w:rPr>
          <w:rFonts w:ascii="Palatino Linotype" w:hAnsi="Palatino Linotype"/>
          <w:sz w:val="20"/>
          <w:szCs w:val="20"/>
          <w:u w:val="single"/>
        </w:rPr>
        <w:t>ANOVA results of tests between the POD increase in MO17 and POD increase in YE8112</w:t>
      </w:r>
    </w:p>
    <w:p w:rsidR="00E7267F" w:rsidRPr="001D1E90" w:rsidRDefault="00DA500D" w:rsidP="00DA500D">
      <w:pPr>
        <w:jc w:val="center"/>
      </w:pPr>
      <w:r>
        <w:rPr>
          <w:noProof/>
        </w:rPr>
        <w:drawing>
          <wp:inline distT="0" distB="0" distL="0" distR="0">
            <wp:extent cx="4824919" cy="3073940"/>
            <wp:effectExtent l="0" t="0" r="0" b="0"/>
            <wp:docPr id="7" name="Picture 7" descr="C:\Users\lenovo\Desktop\ANOVA resul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Desktop\ANOVA results.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26535" cy="3074970"/>
                    </a:xfrm>
                    <a:prstGeom prst="rect">
                      <a:avLst/>
                    </a:prstGeom>
                    <a:noFill/>
                    <a:ln>
                      <a:noFill/>
                    </a:ln>
                  </pic:spPr>
                </pic:pic>
              </a:graphicData>
            </a:graphic>
          </wp:inline>
        </w:drawing>
      </w:r>
    </w:p>
    <w:p w:rsidR="00C02E20" w:rsidRPr="001D1E90" w:rsidRDefault="00C02E20" w:rsidP="00FE329E">
      <w:pPr>
        <w:jc w:val="both"/>
        <w:rPr>
          <w:rFonts w:ascii="Palatino Linotype" w:hAnsi="Palatino Linotype"/>
          <w:sz w:val="18"/>
          <w:szCs w:val="18"/>
        </w:rPr>
      </w:pPr>
      <w:proofErr w:type="gramStart"/>
      <w:r w:rsidRPr="001D1E90">
        <w:rPr>
          <w:rFonts w:ascii="Palatino Linotype" w:hAnsi="Palatino Linotype"/>
          <w:b/>
          <w:sz w:val="18"/>
          <w:szCs w:val="18"/>
        </w:rPr>
        <w:t>Supplementary Figure 1</w:t>
      </w:r>
      <w:r w:rsidRPr="001D1E90">
        <w:rPr>
          <w:b/>
        </w:rPr>
        <w:t>.</w:t>
      </w:r>
      <w:proofErr w:type="gramEnd"/>
      <w:r w:rsidRPr="001D1E90">
        <w:rPr>
          <w:b/>
        </w:rPr>
        <w:t xml:space="preserve"> </w:t>
      </w:r>
      <w:r w:rsidR="00DA500D">
        <w:rPr>
          <w:b/>
        </w:rPr>
        <w:t>(</w:t>
      </w:r>
      <w:r w:rsidR="00DA500D" w:rsidRPr="00DA500D">
        <w:rPr>
          <w:rFonts w:ascii="Palatino Linotype" w:hAnsi="Palatino Linotype"/>
          <w:b/>
          <w:sz w:val="18"/>
          <w:szCs w:val="18"/>
        </w:rPr>
        <w:t xml:space="preserve">A) </w:t>
      </w:r>
      <w:r w:rsidRPr="00DA500D">
        <w:rPr>
          <w:rFonts w:ascii="Palatino Linotype" w:hAnsi="Palatino Linotype"/>
          <w:sz w:val="18"/>
          <w:szCs w:val="18"/>
        </w:rPr>
        <w:t>Regression</w:t>
      </w:r>
      <w:r w:rsidRPr="002277D5">
        <w:rPr>
          <w:rFonts w:ascii="Palatino Linotype" w:hAnsi="Palatino Linotype"/>
          <w:sz w:val="18"/>
          <w:szCs w:val="18"/>
        </w:rPr>
        <w:t xml:space="preserve"> </w:t>
      </w:r>
      <w:r w:rsidR="002277D5" w:rsidRPr="002277D5">
        <w:rPr>
          <w:rFonts w:ascii="Palatino Linotype" w:hAnsi="Palatino Linotype"/>
          <w:sz w:val="18"/>
          <w:szCs w:val="18"/>
        </w:rPr>
        <w:t>lines/equations</w:t>
      </w:r>
      <w:r w:rsidR="002277D5">
        <w:rPr>
          <w:rFonts w:ascii="Palatino Linotype" w:hAnsi="Palatino Linotype"/>
          <w:b/>
          <w:sz w:val="18"/>
          <w:szCs w:val="18"/>
        </w:rPr>
        <w:t xml:space="preserve"> </w:t>
      </w:r>
      <w:r w:rsidR="002277D5">
        <w:rPr>
          <w:rFonts w:ascii="Palatino Linotype" w:hAnsi="Palatino Linotype"/>
          <w:sz w:val="18"/>
          <w:szCs w:val="18"/>
        </w:rPr>
        <w:t>of pe</w:t>
      </w:r>
      <w:r w:rsidRPr="001D1E90">
        <w:rPr>
          <w:rFonts w:ascii="Palatino Linotype" w:hAnsi="Palatino Linotype"/>
          <w:sz w:val="18"/>
          <w:szCs w:val="18"/>
        </w:rPr>
        <w:t>roxidase (POD) enzyme activity</w:t>
      </w:r>
      <w:r w:rsidR="002277D5">
        <w:rPr>
          <w:rFonts w:ascii="Palatino Linotype" w:hAnsi="Palatino Linotype"/>
          <w:b/>
          <w:sz w:val="18"/>
          <w:szCs w:val="18"/>
        </w:rPr>
        <w:t xml:space="preserve"> </w:t>
      </w:r>
      <w:r w:rsidRPr="001D1E90">
        <w:rPr>
          <w:rFonts w:ascii="Palatino Linotype" w:hAnsi="Palatino Linotype"/>
          <w:sz w:val="18"/>
          <w:szCs w:val="18"/>
        </w:rPr>
        <w:t xml:space="preserve">in contrasting maize inbred lines (drought sensitive line MO17 and tolerant line YE8112) under non-stressed (control) and drought stressed conditions. </w:t>
      </w:r>
      <w:r w:rsidR="002C3A27" w:rsidRPr="001D1E90">
        <w:rPr>
          <w:rFonts w:ascii="Palatino Linotype" w:hAnsi="Palatino Linotype"/>
          <w:sz w:val="18"/>
          <w:szCs w:val="18"/>
        </w:rPr>
        <w:t xml:space="preserve">The X axis shows the drought stress treatment points (in days post pollination; DPP). </w:t>
      </w:r>
      <w:r w:rsidR="00421518" w:rsidRPr="001D1E90">
        <w:rPr>
          <w:rFonts w:ascii="Palatino Linotype" w:hAnsi="Palatino Linotype"/>
          <w:sz w:val="18"/>
          <w:szCs w:val="18"/>
        </w:rPr>
        <w:t>The</w:t>
      </w:r>
      <w:r w:rsidR="002277D5">
        <w:rPr>
          <w:rFonts w:ascii="Palatino Linotype" w:hAnsi="Palatino Linotype"/>
          <w:sz w:val="18"/>
          <w:szCs w:val="18"/>
        </w:rPr>
        <w:t xml:space="preserve"> </w:t>
      </w:r>
      <w:r w:rsidR="00421518" w:rsidRPr="001D1E90">
        <w:rPr>
          <w:rFonts w:ascii="Palatino Linotype" w:hAnsi="Palatino Linotype"/>
          <w:sz w:val="18"/>
          <w:szCs w:val="18"/>
        </w:rPr>
        <w:t xml:space="preserve">y axis shows the value of the measured parameter, that is µg/g.  </w:t>
      </w:r>
      <w:r w:rsidR="00A34602" w:rsidRPr="001D1E90">
        <w:rPr>
          <w:rFonts w:ascii="Palatino Linotype" w:hAnsi="Palatino Linotype"/>
          <w:sz w:val="18"/>
          <w:szCs w:val="18"/>
        </w:rPr>
        <w:t>Each regression equation/line was calculat</w:t>
      </w:r>
      <w:r w:rsidR="00FE329E" w:rsidRPr="001D1E90">
        <w:rPr>
          <w:rFonts w:ascii="Palatino Linotype" w:hAnsi="Palatino Linotype"/>
          <w:sz w:val="18"/>
          <w:szCs w:val="18"/>
        </w:rPr>
        <w:t>ed based on three replications,</w:t>
      </w:r>
      <w:r w:rsidR="00A34602" w:rsidRPr="001D1E90">
        <w:rPr>
          <w:rFonts w:ascii="Palatino Linotype" w:hAnsi="Palatino Linotype"/>
          <w:sz w:val="18"/>
          <w:szCs w:val="18"/>
        </w:rPr>
        <w:t xml:space="preserve"> as highlighted by the legend. </w:t>
      </w:r>
      <w:r w:rsidR="00DA500D" w:rsidRPr="00DA500D">
        <w:rPr>
          <w:rFonts w:ascii="Palatino Linotype" w:hAnsi="Palatino Linotype"/>
          <w:b/>
          <w:sz w:val="18"/>
          <w:szCs w:val="18"/>
        </w:rPr>
        <w:t>(B)</w:t>
      </w:r>
      <w:r w:rsidR="00DA500D">
        <w:rPr>
          <w:rFonts w:ascii="Palatino Linotype" w:hAnsi="Palatino Linotype"/>
          <w:sz w:val="18"/>
          <w:szCs w:val="18"/>
        </w:rPr>
        <w:t xml:space="preserve"> </w:t>
      </w:r>
      <w:r w:rsidR="00A34602" w:rsidRPr="001D1E90">
        <w:rPr>
          <w:rFonts w:ascii="Palatino Linotype" w:hAnsi="Palatino Linotype"/>
          <w:sz w:val="18"/>
          <w:szCs w:val="18"/>
        </w:rPr>
        <w:t>The</w:t>
      </w:r>
      <w:r w:rsidR="00DA500D">
        <w:rPr>
          <w:rFonts w:ascii="Palatino Linotype" w:hAnsi="Palatino Linotype"/>
          <w:sz w:val="18"/>
          <w:szCs w:val="18"/>
        </w:rPr>
        <w:t xml:space="preserve"> ANOVA table results of tests between the POD increase in MO17 and POD increase in YE8112. The results showed that the rate of POD increase in the two lines was not significantly different at the 0.05 level (Sig. 0.099 is above 0.05). </w:t>
      </w:r>
      <w:r w:rsidR="00A34602" w:rsidRPr="001D1E90">
        <w:rPr>
          <w:rFonts w:ascii="Palatino Linotype" w:hAnsi="Palatino Linotype"/>
          <w:sz w:val="18"/>
          <w:szCs w:val="18"/>
        </w:rPr>
        <w:t xml:space="preserve"> </w:t>
      </w:r>
      <w:bookmarkStart w:id="0" w:name="_GoBack"/>
      <w:bookmarkEnd w:id="0"/>
    </w:p>
    <w:p w:rsidR="004411C8" w:rsidRPr="001D1E90" w:rsidRDefault="004411C8" w:rsidP="004411C8">
      <w:pPr>
        <w:pStyle w:val="MDPI22heading2"/>
        <w:spacing w:before="0" w:line="240" w:lineRule="auto"/>
        <w:ind w:firstLine="420"/>
        <w:jc w:val="both"/>
        <w:rPr>
          <w:i w:val="0"/>
          <w:szCs w:val="20"/>
        </w:rPr>
      </w:pPr>
    </w:p>
    <w:p w:rsidR="004411C8" w:rsidRPr="001D1E90" w:rsidRDefault="004411C8" w:rsidP="004411C8">
      <w:pPr>
        <w:pStyle w:val="Subtitle"/>
        <w:rPr>
          <w:rFonts w:ascii="Palatino Linotype" w:hAnsi="Palatino Linotype"/>
          <w:sz w:val="20"/>
          <w:szCs w:val="20"/>
        </w:rPr>
      </w:pPr>
      <w:r w:rsidRPr="001D1E90">
        <w:rPr>
          <w:rFonts w:ascii="Palatino Linotype" w:hAnsi="Palatino Linotype"/>
          <w:noProof/>
          <w:sz w:val="20"/>
          <w:szCs w:val="20"/>
          <w:lang w:val="en-GB"/>
        </w:rPr>
        <w:lastRenderedPageBreak/>
        <w:drawing>
          <wp:inline distT="0" distB="0" distL="0" distR="0" wp14:anchorId="519723AC" wp14:editId="2E405D65">
            <wp:extent cx="5608541" cy="4267200"/>
            <wp:effectExtent l="0" t="0" r="0" b="0"/>
            <wp:docPr id="17" name="Picture 17" descr="C:\Users\lenovo\AppData\Local\Temp\360zip$Temp\360$0\Figure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novo\AppData\Local\Temp\360zip$Temp\360$0\Figure 3.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15940" cy="4272830"/>
                    </a:xfrm>
                    <a:prstGeom prst="rect">
                      <a:avLst/>
                    </a:prstGeom>
                    <a:noFill/>
                    <a:ln>
                      <a:noFill/>
                    </a:ln>
                  </pic:spPr>
                </pic:pic>
              </a:graphicData>
            </a:graphic>
          </wp:inline>
        </w:drawing>
      </w:r>
    </w:p>
    <w:p w:rsidR="004411C8" w:rsidRPr="001D1E90" w:rsidRDefault="004411C8" w:rsidP="004411C8">
      <w:pPr>
        <w:pStyle w:val="MDPI22heading2"/>
        <w:spacing w:before="0" w:line="240" w:lineRule="auto"/>
        <w:ind w:left="420"/>
        <w:jc w:val="both"/>
        <w:rPr>
          <w:i w:val="0"/>
        </w:rPr>
      </w:pPr>
      <w:r w:rsidRPr="001D1E90">
        <w:rPr>
          <w:b/>
          <w:i w:val="0"/>
          <w:sz w:val="18"/>
          <w:szCs w:val="18"/>
        </w:rPr>
        <w:t>Supplementary Figure 2.</w:t>
      </w:r>
      <w:r w:rsidRPr="001D1E90">
        <w:rPr>
          <w:i w:val="0"/>
          <w:sz w:val="18"/>
          <w:szCs w:val="18"/>
        </w:rPr>
        <w:t xml:space="preserve"> Basic iTRAQ (isobaric tags for relative and absolute quantification) proteomics analysis output details. </w:t>
      </w:r>
      <w:r w:rsidRPr="001D1E90">
        <w:rPr>
          <w:b/>
          <w:i w:val="0"/>
          <w:sz w:val="18"/>
          <w:szCs w:val="18"/>
        </w:rPr>
        <w:t>(A)</w:t>
      </w:r>
      <w:r w:rsidRPr="001D1E90">
        <w:rPr>
          <w:i w:val="0"/>
          <w:sz w:val="18"/>
          <w:szCs w:val="18"/>
        </w:rPr>
        <w:t xml:space="preserve"> Mass distribution of the identified proteins; </w:t>
      </w:r>
      <w:r w:rsidRPr="001D1E90">
        <w:rPr>
          <w:b/>
          <w:i w:val="0"/>
          <w:sz w:val="18"/>
          <w:szCs w:val="18"/>
        </w:rPr>
        <w:t>(B)</w:t>
      </w:r>
      <w:r w:rsidRPr="001D1E90">
        <w:rPr>
          <w:i w:val="0"/>
          <w:sz w:val="18"/>
          <w:szCs w:val="18"/>
        </w:rPr>
        <w:t xml:space="preserve"> numbers of peptides that were matched to proteins; </w:t>
      </w:r>
      <w:r w:rsidRPr="001D1E90">
        <w:rPr>
          <w:b/>
          <w:i w:val="0"/>
          <w:sz w:val="18"/>
          <w:szCs w:val="18"/>
        </w:rPr>
        <w:t>(C)</w:t>
      </w:r>
      <w:r w:rsidRPr="001D1E90">
        <w:rPr>
          <w:i w:val="0"/>
          <w:sz w:val="18"/>
          <w:szCs w:val="18"/>
        </w:rPr>
        <w:t xml:space="preserve"> sequence coverage range of the identified proteins; </w:t>
      </w:r>
      <w:r w:rsidRPr="001D1E90">
        <w:rPr>
          <w:b/>
          <w:i w:val="0"/>
          <w:sz w:val="18"/>
          <w:szCs w:val="18"/>
        </w:rPr>
        <w:t>(D)</w:t>
      </w:r>
      <w:r w:rsidRPr="001D1E90">
        <w:rPr>
          <w:i w:val="0"/>
          <w:sz w:val="18"/>
          <w:szCs w:val="18"/>
        </w:rPr>
        <w:t xml:space="preserve"> length distribution of peptides  defining each protein. </w:t>
      </w:r>
    </w:p>
    <w:p w:rsidR="00BF17A7" w:rsidRPr="001D1E90" w:rsidRDefault="00BF17A7" w:rsidP="00BF17A7">
      <w:pPr>
        <w:tabs>
          <w:tab w:val="center" w:pos="4513"/>
        </w:tabs>
        <w:rPr>
          <w:rFonts w:ascii="Palatino Linotype" w:hAnsi="Palatino Linotype"/>
          <w:b/>
          <w:u w:val="single"/>
          <w:lang w:val="en-US"/>
        </w:rPr>
      </w:pPr>
    </w:p>
    <w:p w:rsidR="000A218F" w:rsidRPr="001D1E90" w:rsidRDefault="000A218F" w:rsidP="000A218F">
      <w:pPr>
        <w:rPr>
          <w:rFonts w:ascii="Palatino Linotype" w:hAnsi="Palatino Linotype" w:cs="Times New Roman"/>
          <w:sz w:val="24"/>
          <w:szCs w:val="24"/>
        </w:rPr>
      </w:pPr>
    </w:p>
    <w:p w:rsidR="000A218F" w:rsidRPr="001D1E90" w:rsidRDefault="000A218F" w:rsidP="000A218F">
      <w:pPr>
        <w:rPr>
          <w:rFonts w:ascii="Palatino Linotype" w:hAnsi="Palatino Linotype" w:cs="Times New Roman"/>
          <w:b/>
          <w:sz w:val="28"/>
          <w:szCs w:val="28"/>
        </w:rPr>
      </w:pPr>
      <w:r w:rsidRPr="001D1E90">
        <w:rPr>
          <w:rFonts w:ascii="Palatino Linotype" w:hAnsi="Palatino Linotype" w:cs="Times New Roman"/>
          <w:b/>
          <w:noProof/>
          <w:sz w:val="28"/>
          <w:szCs w:val="28"/>
        </w:rPr>
        <w:lastRenderedPageBreak/>
        <w:drawing>
          <wp:inline distT="0" distB="0" distL="0" distR="0" wp14:anchorId="764BB259" wp14:editId="5105E52F">
            <wp:extent cx="5271476" cy="6374423"/>
            <wp:effectExtent l="0" t="0" r="5715" b="762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OLevel2_XIN.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74310" cy="6377850"/>
                    </a:xfrm>
                    <a:prstGeom prst="rect">
                      <a:avLst/>
                    </a:prstGeom>
                  </pic:spPr>
                </pic:pic>
              </a:graphicData>
            </a:graphic>
          </wp:inline>
        </w:drawing>
      </w:r>
    </w:p>
    <w:p w:rsidR="000A218F" w:rsidRPr="001D1E90" w:rsidRDefault="00D856D1" w:rsidP="000A218F">
      <w:pPr>
        <w:pStyle w:val="Subtitle"/>
        <w:spacing w:before="0" w:after="0" w:line="240" w:lineRule="auto"/>
        <w:jc w:val="both"/>
        <w:rPr>
          <w:rFonts w:ascii="Palatino Linotype" w:eastAsiaTheme="minorEastAsia" w:hAnsi="Palatino Linotype" w:cs="Times New Roman"/>
          <w:b w:val="0"/>
          <w:bCs w:val="0"/>
          <w:kern w:val="2"/>
          <w:sz w:val="18"/>
          <w:szCs w:val="18"/>
        </w:rPr>
      </w:pPr>
      <w:proofErr w:type="gramStart"/>
      <w:r w:rsidRPr="001D1E90">
        <w:rPr>
          <w:rFonts w:ascii="Palatino Linotype" w:eastAsiaTheme="minorEastAsia" w:hAnsi="Palatino Linotype" w:cs="Times New Roman"/>
          <w:bCs w:val="0"/>
          <w:kern w:val="2"/>
          <w:sz w:val="18"/>
          <w:szCs w:val="18"/>
        </w:rPr>
        <w:t xml:space="preserve">Supplementary Figure </w:t>
      </w:r>
      <w:r w:rsidR="00BF17A7" w:rsidRPr="001D1E90">
        <w:rPr>
          <w:rFonts w:ascii="Palatino Linotype" w:eastAsiaTheme="minorEastAsia" w:hAnsi="Palatino Linotype" w:cs="Times New Roman"/>
          <w:bCs w:val="0"/>
          <w:kern w:val="2"/>
          <w:sz w:val="18"/>
          <w:szCs w:val="18"/>
        </w:rPr>
        <w:t>3</w:t>
      </w:r>
      <w:r w:rsidR="000A218F" w:rsidRPr="001D1E90">
        <w:rPr>
          <w:rFonts w:ascii="Palatino Linotype" w:eastAsiaTheme="minorEastAsia" w:hAnsi="Palatino Linotype" w:cs="Times New Roman"/>
          <w:bCs w:val="0"/>
          <w:kern w:val="2"/>
          <w:sz w:val="18"/>
          <w:szCs w:val="18"/>
        </w:rPr>
        <w:t>.</w:t>
      </w:r>
      <w:proofErr w:type="gramEnd"/>
      <w:r w:rsidR="000A218F" w:rsidRPr="001D1E90">
        <w:rPr>
          <w:rFonts w:ascii="Palatino Linotype" w:eastAsiaTheme="minorEastAsia" w:hAnsi="Palatino Linotype" w:cs="Times New Roman"/>
          <w:b w:val="0"/>
          <w:bCs w:val="0"/>
          <w:kern w:val="2"/>
          <w:sz w:val="18"/>
          <w:szCs w:val="18"/>
        </w:rPr>
        <w:t xml:space="preserve"> </w:t>
      </w:r>
      <w:proofErr w:type="gramStart"/>
      <w:r w:rsidR="000A218F" w:rsidRPr="001D1E90">
        <w:rPr>
          <w:rFonts w:ascii="Palatino Linotype" w:eastAsiaTheme="minorEastAsia" w:hAnsi="Palatino Linotype" w:cs="Times New Roman"/>
          <w:b w:val="0"/>
          <w:bCs w:val="0"/>
          <w:kern w:val="2"/>
          <w:sz w:val="18"/>
          <w:szCs w:val="18"/>
        </w:rPr>
        <w:t>Gene ontology (GO) functional classification of drought response proteins.</w:t>
      </w:r>
      <w:proofErr w:type="gramEnd"/>
      <w:r w:rsidR="000A218F" w:rsidRPr="001D1E90">
        <w:rPr>
          <w:rFonts w:ascii="Palatino Linotype" w:eastAsiaTheme="minorEastAsia" w:hAnsi="Palatino Linotype" w:cs="Times New Roman"/>
          <w:b w:val="0"/>
          <w:bCs w:val="0"/>
          <w:kern w:val="2"/>
          <w:sz w:val="18"/>
          <w:szCs w:val="18"/>
        </w:rPr>
        <w:t xml:space="preserve"> (A) YE8112 specific DAPs; (B) MO17 DAPs, Y-axis represents the number of proteins in each function (and %); The X-axis shows the function of the protein, which is divided into three broad biological functional groups</w:t>
      </w:r>
      <w:r w:rsidR="00753059" w:rsidRPr="001D1E90">
        <w:rPr>
          <w:rFonts w:ascii="Palatino Linotype" w:eastAsiaTheme="minorEastAsia" w:hAnsi="Palatino Linotype" w:cs="Times New Roman"/>
          <w:b w:val="0"/>
          <w:bCs w:val="0"/>
          <w:kern w:val="2"/>
          <w:sz w:val="18"/>
          <w:szCs w:val="18"/>
        </w:rPr>
        <w:t xml:space="preserve"> – biological process (BP), molecular function (MF) and cellular component (CC)</w:t>
      </w:r>
      <w:r w:rsidR="000A218F" w:rsidRPr="001D1E90">
        <w:rPr>
          <w:rFonts w:ascii="Palatino Linotype" w:eastAsiaTheme="minorEastAsia" w:hAnsi="Palatino Linotype" w:cs="Times New Roman"/>
          <w:b w:val="0"/>
          <w:bCs w:val="0"/>
          <w:kern w:val="2"/>
          <w:sz w:val="18"/>
          <w:szCs w:val="18"/>
        </w:rPr>
        <w:t>.</w:t>
      </w:r>
    </w:p>
    <w:p w:rsidR="00C825E4" w:rsidRPr="001D1E90" w:rsidRDefault="00C825E4" w:rsidP="00C825E4">
      <w:pPr>
        <w:rPr>
          <w:sz w:val="18"/>
          <w:szCs w:val="18"/>
          <w:lang w:val="en-US"/>
        </w:rPr>
      </w:pPr>
    </w:p>
    <w:p w:rsidR="00C825E4" w:rsidRPr="001D1E90" w:rsidRDefault="00C825E4" w:rsidP="00C825E4">
      <w:pPr>
        <w:rPr>
          <w:lang w:val="en-US"/>
        </w:rPr>
      </w:pPr>
    </w:p>
    <w:p w:rsidR="00C825E4" w:rsidRPr="001D1E90" w:rsidRDefault="00C825E4" w:rsidP="00C825E4">
      <w:pPr>
        <w:rPr>
          <w:lang w:val="en-US"/>
        </w:rPr>
      </w:pPr>
    </w:p>
    <w:p w:rsidR="00C825E4" w:rsidRPr="001D1E90" w:rsidRDefault="00C825E4" w:rsidP="00C825E4">
      <w:pPr>
        <w:rPr>
          <w:lang w:val="en-US"/>
        </w:rPr>
      </w:pPr>
    </w:p>
    <w:p w:rsidR="00C825E4" w:rsidRPr="001D1E90" w:rsidRDefault="00C825E4" w:rsidP="00C825E4">
      <w:pPr>
        <w:rPr>
          <w:lang w:val="en-US"/>
        </w:rPr>
      </w:pPr>
      <w:r w:rsidRPr="001D1E90">
        <w:rPr>
          <w:noProof/>
        </w:rPr>
        <w:lastRenderedPageBreak/>
        <w:drawing>
          <wp:inline distT="0" distB="0" distL="0" distR="0" wp14:anchorId="6A3628CB" wp14:editId="3AC7E317">
            <wp:extent cx="5719864" cy="7616757"/>
            <wp:effectExtent l="0" t="0" r="0" b="3810"/>
            <wp:docPr id="2" name="Picture 2" descr="C:\Users\lenovo\Desktop\Supplementary Figures\Figure 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Desktop\Supplementary Figures\Figure S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31510" cy="7632265"/>
                    </a:xfrm>
                    <a:prstGeom prst="rect">
                      <a:avLst/>
                    </a:prstGeom>
                    <a:noFill/>
                    <a:ln>
                      <a:noFill/>
                    </a:ln>
                  </pic:spPr>
                </pic:pic>
              </a:graphicData>
            </a:graphic>
          </wp:inline>
        </w:drawing>
      </w:r>
    </w:p>
    <w:p w:rsidR="00596133" w:rsidRPr="001D1E90" w:rsidRDefault="00C825E4" w:rsidP="00596133">
      <w:pPr>
        <w:pStyle w:val="MDPI51figurecaption"/>
        <w:rPr>
          <w:sz w:val="20"/>
        </w:rPr>
      </w:pPr>
      <w:r w:rsidRPr="001D1E90">
        <w:rPr>
          <w:b/>
          <w:noProof/>
        </w:rPr>
        <w:t xml:space="preserve">Supplementary Figure </w:t>
      </w:r>
      <w:r w:rsidR="00BF17A7" w:rsidRPr="001D1E90">
        <w:rPr>
          <w:b/>
          <w:noProof/>
        </w:rPr>
        <w:t>4</w:t>
      </w:r>
      <w:r w:rsidRPr="001D1E90">
        <w:rPr>
          <w:noProof/>
        </w:rPr>
        <w:t xml:space="preserve">. </w:t>
      </w:r>
      <w:r w:rsidR="00596133" w:rsidRPr="001D1E90">
        <w:rPr>
          <w:sz w:val="20"/>
        </w:rPr>
        <w:t xml:space="preserve">Top 20 </w:t>
      </w:r>
      <w:r w:rsidR="00596133" w:rsidRPr="001D1E90">
        <w:t xml:space="preserve">KEGG pathway enrichment </w:t>
      </w:r>
      <w:proofErr w:type="gramStart"/>
      <w:r w:rsidR="00596133" w:rsidRPr="001D1E90">
        <w:t>analysis</w:t>
      </w:r>
      <w:proofErr w:type="gramEnd"/>
      <w:r w:rsidR="00596133" w:rsidRPr="001D1E90">
        <w:t xml:space="preserve"> of the differentially abundant proteins (DAPs) in different experimental comparisons. </w:t>
      </w:r>
      <w:proofErr w:type="gramStart"/>
      <w:r w:rsidR="00596133" w:rsidRPr="001D1E90">
        <w:t>(</w:t>
      </w:r>
      <w:r w:rsidR="00596133" w:rsidRPr="001D1E90">
        <w:rPr>
          <w:b/>
        </w:rPr>
        <w:t>A</w:t>
      </w:r>
      <w:r w:rsidR="00596133" w:rsidRPr="001D1E90">
        <w:t>) TC_TD comparison; (</w:t>
      </w:r>
      <w:r w:rsidR="00596133" w:rsidRPr="001D1E90">
        <w:rPr>
          <w:b/>
        </w:rPr>
        <w:t>B</w:t>
      </w:r>
      <w:r w:rsidR="00596133" w:rsidRPr="001D1E90">
        <w:t>) (</w:t>
      </w:r>
      <w:r w:rsidR="00596133" w:rsidRPr="001D1E90">
        <w:rPr>
          <w:b/>
        </w:rPr>
        <w:t>C</w:t>
      </w:r>
      <w:r w:rsidR="00596133" w:rsidRPr="001D1E90">
        <w:t>) SC_SD comparison.</w:t>
      </w:r>
      <w:proofErr w:type="gramEnd"/>
      <w:r w:rsidR="00596133" w:rsidRPr="001D1E90">
        <w:t xml:space="preserve">  The whole number above the bar (blue) graph represents number of DEGs enriched in the corresponding pathway. </w:t>
      </w:r>
    </w:p>
    <w:p w:rsidR="00F34624" w:rsidRDefault="00F34624" w:rsidP="00DD1F13">
      <w:pPr>
        <w:ind w:firstLineChars="200" w:firstLine="440"/>
        <w:rPr>
          <w:rFonts w:ascii="Palatino Linotype" w:hAnsi="Palatino Linotype" w:cs="Times New Roman"/>
          <w:u w:val="single"/>
        </w:rPr>
      </w:pPr>
    </w:p>
    <w:p w:rsidR="00DD1F13" w:rsidRPr="001D1E90" w:rsidRDefault="00BF17A7" w:rsidP="00DD1F13">
      <w:pPr>
        <w:ind w:firstLineChars="200" w:firstLine="440"/>
        <w:rPr>
          <w:rFonts w:ascii="Palatino Linotype" w:hAnsi="Palatino Linotype" w:cs="Times New Roman"/>
          <w:u w:val="single"/>
        </w:rPr>
      </w:pPr>
      <w:r w:rsidRPr="001D1E90">
        <w:rPr>
          <w:rFonts w:ascii="Palatino Linotype" w:hAnsi="Palatino Linotype" w:cs="Times New Roman"/>
          <w:u w:val="single"/>
        </w:rPr>
        <w:lastRenderedPageBreak/>
        <w:t>5</w:t>
      </w:r>
      <w:r w:rsidR="00DD1F13" w:rsidRPr="001D1E90">
        <w:rPr>
          <w:rFonts w:ascii="Palatino Linotype" w:hAnsi="Palatino Linotype" w:cs="Times New Roman"/>
          <w:u w:val="single"/>
        </w:rPr>
        <w:t xml:space="preserve">a. </w:t>
      </w:r>
    </w:p>
    <w:p w:rsidR="00C825E4" w:rsidRPr="001D1E90" w:rsidRDefault="00DD1F13" w:rsidP="00C825E4">
      <w:pPr>
        <w:rPr>
          <w:rFonts w:ascii="Palatino Linotype" w:hAnsi="Palatino Linotype" w:cs="Times New Roman"/>
          <w:b/>
        </w:rPr>
      </w:pPr>
      <w:r w:rsidRPr="001D1E90">
        <w:rPr>
          <w:rFonts w:ascii="Palatino Linotype" w:hAnsi="Palatino Linotype" w:cs="Times New Roman"/>
          <w:b/>
          <w:noProof/>
        </w:rPr>
        <w:drawing>
          <wp:inline distT="0" distB="0" distL="0" distR="0" wp14:anchorId="215FC00D" wp14:editId="71576C44">
            <wp:extent cx="6031149" cy="5846323"/>
            <wp:effectExtent l="0" t="0" r="8255" b="2540"/>
            <wp:docPr id="1" name="Picture 1" descr="C:\Users\lenovo\Desktop\YE8112 Top Enriched KEGG Pathwa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Desktop\YE8112 Top Enriched KEGG Pathway.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43429" cy="5858226"/>
                    </a:xfrm>
                    <a:prstGeom prst="rect">
                      <a:avLst/>
                    </a:prstGeom>
                    <a:noFill/>
                    <a:ln>
                      <a:noFill/>
                    </a:ln>
                  </pic:spPr>
                </pic:pic>
              </a:graphicData>
            </a:graphic>
          </wp:inline>
        </w:drawing>
      </w:r>
    </w:p>
    <w:p w:rsidR="00C825E4" w:rsidRPr="001D1E90" w:rsidRDefault="00C825E4" w:rsidP="00C825E4">
      <w:pPr>
        <w:rPr>
          <w:rFonts w:ascii="Palatino Linotype" w:hAnsi="Palatino Linotype" w:cs="Times New Roman"/>
          <w:b/>
        </w:rPr>
      </w:pPr>
    </w:p>
    <w:p w:rsidR="00C825E4" w:rsidRPr="001D1E90" w:rsidRDefault="00C825E4" w:rsidP="00C825E4">
      <w:pPr>
        <w:rPr>
          <w:rFonts w:ascii="Palatino Linotype" w:hAnsi="Palatino Linotype" w:cs="Times New Roman"/>
          <w:b/>
        </w:rPr>
      </w:pPr>
    </w:p>
    <w:p w:rsidR="00DD1F13" w:rsidRPr="001D1E90" w:rsidRDefault="00DD1F13" w:rsidP="00C825E4">
      <w:pPr>
        <w:rPr>
          <w:rFonts w:ascii="Palatino Linotype" w:hAnsi="Palatino Linotype" w:cs="Times New Roman"/>
          <w:b/>
        </w:rPr>
      </w:pPr>
    </w:p>
    <w:p w:rsidR="00DD1F13" w:rsidRPr="001D1E90" w:rsidRDefault="00DD1F13" w:rsidP="00C825E4">
      <w:pPr>
        <w:rPr>
          <w:rFonts w:ascii="Palatino Linotype" w:hAnsi="Palatino Linotype" w:cs="Times New Roman"/>
          <w:b/>
        </w:rPr>
      </w:pPr>
    </w:p>
    <w:p w:rsidR="00DD1F13" w:rsidRPr="001D1E90" w:rsidRDefault="00DD1F13" w:rsidP="00C825E4">
      <w:pPr>
        <w:rPr>
          <w:rFonts w:ascii="Palatino Linotype" w:hAnsi="Palatino Linotype" w:cs="Times New Roman"/>
          <w:b/>
        </w:rPr>
      </w:pPr>
    </w:p>
    <w:p w:rsidR="00DD1F13" w:rsidRPr="001D1E90" w:rsidRDefault="00DD1F13" w:rsidP="00C825E4">
      <w:pPr>
        <w:rPr>
          <w:rFonts w:ascii="Palatino Linotype" w:hAnsi="Palatino Linotype" w:cs="Times New Roman"/>
          <w:b/>
        </w:rPr>
      </w:pPr>
    </w:p>
    <w:p w:rsidR="00DD1F13" w:rsidRPr="001D1E90" w:rsidRDefault="00DD1F13" w:rsidP="00C825E4">
      <w:pPr>
        <w:rPr>
          <w:rFonts w:ascii="Palatino Linotype" w:hAnsi="Palatino Linotype" w:cs="Times New Roman"/>
          <w:b/>
        </w:rPr>
      </w:pPr>
    </w:p>
    <w:p w:rsidR="00DD1F13" w:rsidRPr="001D1E90" w:rsidRDefault="00BF17A7" w:rsidP="00C825E4">
      <w:pPr>
        <w:rPr>
          <w:rFonts w:ascii="Palatino Linotype" w:hAnsi="Palatino Linotype" w:cs="Times New Roman"/>
          <w:u w:val="single"/>
        </w:rPr>
      </w:pPr>
      <w:r w:rsidRPr="001D1E90">
        <w:rPr>
          <w:rFonts w:ascii="Palatino Linotype" w:hAnsi="Palatino Linotype" w:cs="Times New Roman"/>
          <w:u w:val="single"/>
        </w:rPr>
        <w:lastRenderedPageBreak/>
        <w:t>5</w:t>
      </w:r>
      <w:r w:rsidR="00DD1F13" w:rsidRPr="001D1E90">
        <w:rPr>
          <w:rFonts w:ascii="Palatino Linotype" w:hAnsi="Palatino Linotype" w:cs="Times New Roman"/>
          <w:u w:val="single"/>
        </w:rPr>
        <w:t xml:space="preserve">b. </w:t>
      </w:r>
    </w:p>
    <w:p w:rsidR="00DD1F13" w:rsidRPr="001D1E90" w:rsidRDefault="00753059" w:rsidP="00C825E4">
      <w:pPr>
        <w:rPr>
          <w:rFonts w:ascii="Palatino Linotype" w:hAnsi="Palatino Linotype" w:cs="Times New Roman"/>
          <w:u w:val="single"/>
        </w:rPr>
      </w:pPr>
      <w:r w:rsidRPr="001D1E90">
        <w:rPr>
          <w:rFonts w:ascii="Palatino Linotype" w:hAnsi="Palatino Linotype" w:cs="Times New Roman"/>
          <w:noProof/>
          <w:u w:val="single"/>
        </w:rPr>
        <w:drawing>
          <wp:inline distT="0" distB="0" distL="0" distR="0" wp14:anchorId="41E159B9" wp14:editId="7D3BF322">
            <wp:extent cx="5719864" cy="2966936"/>
            <wp:effectExtent l="0" t="0" r="0" b="5080"/>
            <wp:docPr id="3" name="Picture 3" descr="C:\Users\lenovo\Desktop\Starch and sucrose metabolism pathwa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novo\Desktop\Starch and sucrose metabolism pathway.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1510" cy="2972977"/>
                    </a:xfrm>
                    <a:prstGeom prst="rect">
                      <a:avLst/>
                    </a:prstGeom>
                    <a:noFill/>
                    <a:ln>
                      <a:noFill/>
                    </a:ln>
                  </pic:spPr>
                </pic:pic>
              </a:graphicData>
            </a:graphic>
          </wp:inline>
        </w:drawing>
      </w:r>
    </w:p>
    <w:p w:rsidR="00753059" w:rsidRPr="001D1E90" w:rsidRDefault="00753059" w:rsidP="00C825E4">
      <w:pPr>
        <w:rPr>
          <w:rFonts w:ascii="Palatino Linotype" w:hAnsi="Palatino Linotype" w:cs="Times New Roman"/>
          <w:u w:val="single"/>
        </w:rPr>
      </w:pPr>
      <w:r w:rsidRPr="001D1E90">
        <w:rPr>
          <w:rFonts w:ascii="Palatino Linotype" w:hAnsi="Palatino Linotype" w:cs="Times New Roman"/>
          <w:noProof/>
          <w:u w:val="single"/>
        </w:rPr>
        <w:drawing>
          <wp:inline distT="0" distB="0" distL="0" distR="0" wp14:anchorId="7FEB52E3" wp14:editId="01D7D245">
            <wp:extent cx="5719864" cy="3258766"/>
            <wp:effectExtent l="0" t="0" r="0" b="0"/>
            <wp:docPr id="4" name="Picture 4" descr="C:\Users\lenovo\Desktop\Oxidative Phosphorylation pathwa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novo\Desktop\Oxidative Phosphorylation pathway.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1510" cy="3265401"/>
                    </a:xfrm>
                    <a:prstGeom prst="rect">
                      <a:avLst/>
                    </a:prstGeom>
                    <a:noFill/>
                    <a:ln>
                      <a:noFill/>
                    </a:ln>
                  </pic:spPr>
                </pic:pic>
              </a:graphicData>
            </a:graphic>
          </wp:inline>
        </w:drawing>
      </w:r>
    </w:p>
    <w:p w:rsidR="000A218F" w:rsidRPr="001D1E90" w:rsidRDefault="00C825E4" w:rsidP="00753059">
      <w:pPr>
        <w:jc w:val="both"/>
        <w:rPr>
          <w:rFonts w:ascii="Palatino Linotype" w:hAnsi="Palatino Linotype" w:cs="Times New Roman"/>
          <w:sz w:val="18"/>
          <w:szCs w:val="18"/>
        </w:rPr>
      </w:pPr>
      <w:proofErr w:type="gramStart"/>
      <w:r w:rsidRPr="001D1E90">
        <w:rPr>
          <w:rFonts w:ascii="Palatino Linotype" w:hAnsi="Palatino Linotype" w:cs="Times New Roman"/>
          <w:b/>
          <w:sz w:val="18"/>
          <w:szCs w:val="18"/>
        </w:rPr>
        <w:t xml:space="preserve">Supplementary </w:t>
      </w:r>
      <w:r w:rsidR="000A218F" w:rsidRPr="001D1E90">
        <w:rPr>
          <w:rFonts w:ascii="Palatino Linotype" w:hAnsi="Palatino Linotype" w:cs="Times New Roman"/>
          <w:b/>
          <w:sz w:val="18"/>
          <w:szCs w:val="18"/>
        </w:rPr>
        <w:t xml:space="preserve">Figure </w:t>
      </w:r>
      <w:r w:rsidR="00BF17A7" w:rsidRPr="001D1E90">
        <w:rPr>
          <w:rFonts w:ascii="Palatino Linotype" w:hAnsi="Palatino Linotype" w:cs="Times New Roman"/>
          <w:b/>
          <w:sz w:val="18"/>
          <w:szCs w:val="18"/>
        </w:rPr>
        <w:t>5</w:t>
      </w:r>
      <w:r w:rsidR="000A218F" w:rsidRPr="001D1E90">
        <w:rPr>
          <w:rFonts w:ascii="Palatino Linotype" w:hAnsi="Palatino Linotype" w:cs="Times New Roman"/>
          <w:b/>
          <w:sz w:val="18"/>
          <w:szCs w:val="18"/>
        </w:rPr>
        <w:t>.</w:t>
      </w:r>
      <w:proofErr w:type="gramEnd"/>
      <w:r w:rsidR="000A218F" w:rsidRPr="001D1E90">
        <w:rPr>
          <w:rFonts w:ascii="Palatino Linotype" w:hAnsi="Palatino Linotype" w:cs="Times New Roman"/>
          <w:sz w:val="18"/>
          <w:szCs w:val="18"/>
        </w:rPr>
        <w:t xml:space="preserve"> </w:t>
      </w:r>
      <w:r w:rsidR="00753059" w:rsidRPr="001D1E90">
        <w:rPr>
          <w:rFonts w:ascii="Palatino Linotype" w:hAnsi="Palatino Linotype" w:cs="Times New Roman"/>
          <w:sz w:val="18"/>
          <w:szCs w:val="18"/>
        </w:rPr>
        <w:t xml:space="preserve">Top most significantly enriched </w:t>
      </w:r>
      <w:r w:rsidR="000A218F" w:rsidRPr="001D1E90">
        <w:rPr>
          <w:rFonts w:ascii="Palatino Linotype" w:hAnsi="Palatino Linotype" w:cs="Times New Roman"/>
          <w:sz w:val="18"/>
          <w:szCs w:val="18"/>
        </w:rPr>
        <w:t>KEGG pathway</w:t>
      </w:r>
      <w:r w:rsidR="00753059" w:rsidRPr="001D1E90">
        <w:rPr>
          <w:rFonts w:ascii="Palatino Linotype" w:hAnsi="Palatino Linotype" w:cs="Times New Roman"/>
          <w:sz w:val="18"/>
          <w:szCs w:val="18"/>
        </w:rPr>
        <w:t>s in two inbred lines under drought stress conditions</w:t>
      </w:r>
      <w:r w:rsidR="000A218F" w:rsidRPr="001D1E90">
        <w:rPr>
          <w:rFonts w:ascii="Palatino Linotype" w:hAnsi="Palatino Linotype" w:cs="Times New Roman"/>
          <w:sz w:val="18"/>
          <w:szCs w:val="18"/>
        </w:rPr>
        <w:t>. The red box</w:t>
      </w:r>
      <w:r w:rsidR="00753059" w:rsidRPr="001D1E90">
        <w:rPr>
          <w:rFonts w:ascii="Palatino Linotype" w:hAnsi="Palatino Linotype" w:cs="Times New Roman"/>
          <w:sz w:val="18"/>
          <w:szCs w:val="18"/>
        </w:rPr>
        <w:t>e</w:t>
      </w:r>
      <w:r w:rsidR="000A218F" w:rsidRPr="001D1E90">
        <w:rPr>
          <w:rFonts w:ascii="Palatino Linotype" w:hAnsi="Palatino Linotype" w:cs="Times New Roman"/>
          <w:sz w:val="18"/>
          <w:szCs w:val="18"/>
        </w:rPr>
        <w:t>s are proteins that were differentially expressed under drought conditions and the green box</w:t>
      </w:r>
      <w:r w:rsidR="00753059" w:rsidRPr="001D1E90">
        <w:rPr>
          <w:rFonts w:ascii="Palatino Linotype" w:hAnsi="Palatino Linotype" w:cs="Times New Roman"/>
          <w:sz w:val="18"/>
          <w:szCs w:val="18"/>
        </w:rPr>
        <w:t>e</w:t>
      </w:r>
      <w:r w:rsidR="000A218F" w:rsidRPr="001D1E90">
        <w:rPr>
          <w:rFonts w:ascii="Palatino Linotype" w:hAnsi="Palatino Linotype" w:cs="Times New Roman"/>
          <w:sz w:val="18"/>
          <w:szCs w:val="18"/>
        </w:rPr>
        <w:t>s are substrates and metabolites. (A)</w:t>
      </w:r>
      <w:r w:rsidR="00753059" w:rsidRPr="001D1E90">
        <w:rPr>
          <w:rFonts w:ascii="Palatino Linotype" w:hAnsi="Palatino Linotype" w:cs="Times New Roman"/>
          <w:sz w:val="18"/>
          <w:szCs w:val="18"/>
        </w:rPr>
        <w:t xml:space="preserve"> ‘</w:t>
      </w:r>
      <w:r w:rsidR="000A218F" w:rsidRPr="001D1E90">
        <w:rPr>
          <w:rFonts w:ascii="Palatino Linotype" w:hAnsi="Palatino Linotype" w:cs="Times New Roman"/>
          <w:sz w:val="18"/>
          <w:szCs w:val="18"/>
        </w:rPr>
        <w:t>Protein processing in endoplasmic reticulum</w:t>
      </w:r>
      <w:r w:rsidR="00753059" w:rsidRPr="001D1E90">
        <w:rPr>
          <w:rFonts w:ascii="Palatino Linotype" w:hAnsi="Palatino Linotype" w:cs="Times New Roman"/>
          <w:sz w:val="18"/>
          <w:szCs w:val="18"/>
        </w:rPr>
        <w:t>’ pathway was significantly enriched in tolerant line YE8112</w:t>
      </w:r>
      <w:r w:rsidR="000A218F" w:rsidRPr="001D1E90">
        <w:rPr>
          <w:rFonts w:ascii="Palatino Linotype" w:hAnsi="Palatino Linotype" w:cs="Times New Roman"/>
          <w:sz w:val="18"/>
          <w:szCs w:val="18"/>
        </w:rPr>
        <w:t>; (B)</w:t>
      </w:r>
      <w:r w:rsidR="00753059" w:rsidRPr="001D1E90">
        <w:rPr>
          <w:rFonts w:ascii="Palatino Linotype" w:hAnsi="Palatino Linotype" w:cs="Times New Roman"/>
          <w:sz w:val="18"/>
          <w:szCs w:val="18"/>
        </w:rPr>
        <w:t xml:space="preserve"> ‘Starch and sucrose metabolism’ and ‘</w:t>
      </w:r>
      <w:r w:rsidR="000A218F" w:rsidRPr="001D1E90">
        <w:rPr>
          <w:rFonts w:ascii="Palatino Linotype" w:hAnsi="Palatino Linotype" w:cs="Times New Roman"/>
          <w:sz w:val="18"/>
          <w:szCs w:val="18"/>
        </w:rPr>
        <w:t>Oxidative phosphorylation</w:t>
      </w:r>
      <w:r w:rsidR="00753059" w:rsidRPr="001D1E90">
        <w:rPr>
          <w:rFonts w:ascii="Palatino Linotype" w:hAnsi="Palatino Linotype" w:cs="Times New Roman"/>
          <w:sz w:val="18"/>
          <w:szCs w:val="18"/>
        </w:rPr>
        <w:t xml:space="preserve">’ </w:t>
      </w:r>
      <w:proofErr w:type="gramStart"/>
      <w:r w:rsidR="00753059" w:rsidRPr="001D1E90">
        <w:rPr>
          <w:rFonts w:ascii="Palatino Linotype" w:hAnsi="Palatino Linotype" w:cs="Times New Roman"/>
          <w:sz w:val="18"/>
          <w:szCs w:val="18"/>
        </w:rPr>
        <w:t>pathways  were</w:t>
      </w:r>
      <w:proofErr w:type="gramEnd"/>
      <w:r w:rsidR="00753059" w:rsidRPr="001D1E90">
        <w:rPr>
          <w:rFonts w:ascii="Palatino Linotype" w:hAnsi="Palatino Linotype" w:cs="Times New Roman"/>
          <w:sz w:val="18"/>
          <w:szCs w:val="18"/>
        </w:rPr>
        <w:t xml:space="preserve"> significantly enriched in sensitive line MO17</w:t>
      </w:r>
      <w:r w:rsidR="000A218F" w:rsidRPr="001D1E90">
        <w:rPr>
          <w:rFonts w:ascii="Palatino Linotype" w:hAnsi="Palatino Linotype" w:cs="Times New Roman"/>
          <w:sz w:val="18"/>
          <w:szCs w:val="18"/>
        </w:rPr>
        <w:t>.</w:t>
      </w:r>
    </w:p>
    <w:p w:rsidR="004E4E45" w:rsidRPr="001D1E90" w:rsidRDefault="004E4E45" w:rsidP="00753059">
      <w:pPr>
        <w:jc w:val="both"/>
        <w:rPr>
          <w:rFonts w:ascii="Palatino Linotype" w:hAnsi="Palatino Linotype" w:cs="Times New Roman"/>
          <w:sz w:val="18"/>
          <w:szCs w:val="18"/>
        </w:rPr>
      </w:pPr>
    </w:p>
    <w:p w:rsidR="004E4E45" w:rsidRPr="001D1E90" w:rsidRDefault="004E4E45" w:rsidP="00753059">
      <w:pPr>
        <w:jc w:val="both"/>
        <w:rPr>
          <w:rFonts w:ascii="Palatino Linotype" w:hAnsi="Palatino Linotype" w:cs="Times New Roman"/>
          <w:sz w:val="18"/>
          <w:szCs w:val="18"/>
        </w:rPr>
      </w:pPr>
    </w:p>
    <w:p w:rsidR="004E4E45" w:rsidRPr="001D1E90" w:rsidRDefault="004E4E45" w:rsidP="00753059">
      <w:pPr>
        <w:jc w:val="both"/>
        <w:rPr>
          <w:rFonts w:ascii="Palatino Linotype" w:hAnsi="Palatino Linotype" w:cs="Times New Roman"/>
          <w:sz w:val="18"/>
          <w:szCs w:val="18"/>
        </w:rPr>
      </w:pPr>
    </w:p>
    <w:p w:rsidR="004E4E45" w:rsidRPr="001D1E90" w:rsidRDefault="008F239B" w:rsidP="00753059">
      <w:pPr>
        <w:jc w:val="both"/>
        <w:rPr>
          <w:rFonts w:ascii="Palatino Linotype" w:hAnsi="Palatino Linotype" w:cs="Times New Roman"/>
          <w:sz w:val="18"/>
          <w:szCs w:val="18"/>
        </w:rPr>
      </w:pPr>
      <w:r w:rsidRPr="001D1E90">
        <w:rPr>
          <w:rFonts w:ascii="Palatino Linotype" w:hAnsi="Palatino Linotype" w:cs="Times New Roman"/>
          <w:noProof/>
          <w:sz w:val="18"/>
          <w:szCs w:val="18"/>
        </w:rPr>
        <w:lastRenderedPageBreak/>
        <w:drawing>
          <wp:inline distT="0" distB="0" distL="0" distR="0" wp14:anchorId="4FAA41A9" wp14:editId="51A5CAC2">
            <wp:extent cx="5731510" cy="3536655"/>
            <wp:effectExtent l="0" t="0" r="2540" b="6985"/>
            <wp:docPr id="5" name="Picture 5" descr="C:\Users\lenovo\Desktop\Supplementary Figure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enovo\Desktop\Supplementary Figure 4.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1510" cy="3536655"/>
                    </a:xfrm>
                    <a:prstGeom prst="rect">
                      <a:avLst/>
                    </a:prstGeom>
                    <a:noFill/>
                    <a:ln>
                      <a:noFill/>
                    </a:ln>
                  </pic:spPr>
                </pic:pic>
              </a:graphicData>
            </a:graphic>
          </wp:inline>
        </w:drawing>
      </w:r>
    </w:p>
    <w:p w:rsidR="004E4E45" w:rsidRPr="008F239B" w:rsidRDefault="004E4E45" w:rsidP="004E4E45">
      <w:pPr>
        <w:spacing w:after="0" w:line="240" w:lineRule="auto"/>
        <w:jc w:val="both"/>
        <w:rPr>
          <w:rFonts w:ascii="Palatino Linotype" w:eastAsia="SimHei" w:hAnsi="Palatino Linotype" w:cs="Times New Roman"/>
          <w:color w:val="000000"/>
          <w:sz w:val="18"/>
          <w:szCs w:val="18"/>
          <w:lang w:bidi="ar"/>
        </w:rPr>
      </w:pPr>
      <w:proofErr w:type="gramStart"/>
      <w:r w:rsidRPr="001D1E90">
        <w:rPr>
          <w:rFonts w:ascii="Palatino Linotype" w:hAnsi="Palatino Linotype" w:cs="Times New Roman"/>
          <w:b/>
          <w:sz w:val="18"/>
          <w:szCs w:val="18"/>
        </w:rPr>
        <w:t xml:space="preserve">Supplementary Figure </w:t>
      </w:r>
      <w:r w:rsidR="00BF17A7" w:rsidRPr="001D1E90">
        <w:rPr>
          <w:rFonts w:ascii="Palatino Linotype" w:hAnsi="Palatino Linotype" w:cs="Times New Roman"/>
          <w:b/>
          <w:sz w:val="18"/>
          <w:szCs w:val="18"/>
        </w:rPr>
        <w:t>6</w:t>
      </w:r>
      <w:r w:rsidRPr="001D1E90">
        <w:rPr>
          <w:rFonts w:ascii="Palatino Linotype" w:hAnsi="Palatino Linotype" w:cs="Times New Roman"/>
          <w:b/>
          <w:sz w:val="18"/>
          <w:szCs w:val="18"/>
        </w:rPr>
        <w:t>.</w:t>
      </w:r>
      <w:proofErr w:type="gramEnd"/>
      <w:r w:rsidRPr="001D1E90">
        <w:rPr>
          <w:rFonts w:ascii="Palatino Linotype" w:hAnsi="Palatino Linotype" w:cs="Times New Roman"/>
          <w:sz w:val="18"/>
          <w:szCs w:val="18"/>
        </w:rPr>
        <w:t xml:space="preserve"> </w:t>
      </w:r>
      <w:proofErr w:type="gramStart"/>
      <w:r w:rsidRPr="001D1E90">
        <w:rPr>
          <w:rFonts w:ascii="Palatino Linotype" w:hAnsi="Palatino Linotype" w:cs="Times New Roman"/>
          <w:sz w:val="18"/>
          <w:szCs w:val="18"/>
        </w:rPr>
        <w:t xml:space="preserve">Confirmation of </w:t>
      </w:r>
      <w:proofErr w:type="spellStart"/>
      <w:r w:rsidRPr="001D1E90">
        <w:rPr>
          <w:rFonts w:ascii="Palatino Linotype" w:eastAsia="SimHei" w:hAnsi="Palatino Linotype" w:cs="Times New Roman"/>
          <w:color w:val="000000"/>
          <w:sz w:val="18"/>
          <w:szCs w:val="18"/>
          <w:lang w:bidi="ar"/>
        </w:rPr>
        <w:t>iTRAQ-seq</w:t>
      </w:r>
      <w:proofErr w:type="spellEnd"/>
      <w:r w:rsidRPr="001D1E90">
        <w:rPr>
          <w:rFonts w:ascii="Palatino Linotype" w:eastAsia="SimHei" w:hAnsi="Palatino Linotype" w:cs="Times New Roman"/>
          <w:color w:val="000000"/>
          <w:sz w:val="18"/>
          <w:szCs w:val="18"/>
          <w:lang w:bidi="ar"/>
        </w:rPr>
        <w:t xml:space="preserve"> expression data through </w:t>
      </w:r>
      <w:proofErr w:type="spellStart"/>
      <w:r w:rsidRPr="001D1E90">
        <w:rPr>
          <w:rFonts w:ascii="Palatino Linotype" w:eastAsia="SimHei" w:hAnsi="Palatino Linotype" w:cs="Times New Roman"/>
          <w:color w:val="000000"/>
          <w:sz w:val="18"/>
          <w:szCs w:val="18"/>
          <w:lang w:bidi="ar"/>
        </w:rPr>
        <w:t>qRT</w:t>
      </w:r>
      <w:proofErr w:type="spellEnd"/>
      <w:r w:rsidRPr="001D1E90">
        <w:rPr>
          <w:rFonts w:ascii="Palatino Linotype" w:eastAsia="SimHei" w:hAnsi="Palatino Linotype" w:cs="Times New Roman"/>
          <w:color w:val="000000"/>
          <w:sz w:val="18"/>
          <w:szCs w:val="18"/>
          <w:lang w:bidi="ar"/>
        </w:rPr>
        <w:t>-PCR analysis.</w:t>
      </w:r>
      <w:proofErr w:type="gramEnd"/>
      <w:r w:rsidRPr="001D1E90">
        <w:rPr>
          <w:rFonts w:ascii="Palatino Linotype" w:eastAsia="SimHei" w:hAnsi="Palatino Linotype" w:cs="Times New Roman"/>
          <w:color w:val="000000"/>
          <w:sz w:val="18"/>
          <w:szCs w:val="18"/>
          <w:lang w:bidi="ar"/>
        </w:rPr>
        <w:t xml:space="preserve"> Confirmation was performed using genes derived from four main groups of drought responsive DAPs identified in the study (See Tables 1-3 and Areas I-IV of Figure 4B in the manuscript). The plots demonstrate the expression ratio in Log scale with base of two. The X-axis indicates </w:t>
      </w:r>
      <w:proofErr w:type="spellStart"/>
      <w:r w:rsidRPr="001D1E90">
        <w:rPr>
          <w:rFonts w:ascii="Palatino Linotype" w:eastAsia="SimHei" w:hAnsi="Palatino Linotype" w:cs="Times New Roman"/>
          <w:color w:val="000000"/>
          <w:sz w:val="18"/>
          <w:szCs w:val="18"/>
          <w:lang w:bidi="ar"/>
        </w:rPr>
        <w:t>qRT</w:t>
      </w:r>
      <w:proofErr w:type="spellEnd"/>
      <w:r w:rsidRPr="001D1E90">
        <w:rPr>
          <w:rFonts w:ascii="Palatino Linotype" w:eastAsia="SimHei" w:hAnsi="Palatino Linotype" w:cs="Times New Roman"/>
          <w:color w:val="000000"/>
          <w:sz w:val="18"/>
          <w:szCs w:val="18"/>
          <w:lang w:bidi="ar"/>
        </w:rPr>
        <w:t>-PCR Log scale; the Y-axis indicates RNA-</w:t>
      </w:r>
      <w:proofErr w:type="spellStart"/>
      <w:r w:rsidRPr="001D1E90">
        <w:rPr>
          <w:rFonts w:ascii="Palatino Linotype" w:eastAsia="SimHei" w:hAnsi="Palatino Linotype" w:cs="Times New Roman"/>
          <w:color w:val="000000"/>
          <w:sz w:val="18"/>
          <w:szCs w:val="18"/>
          <w:lang w:bidi="ar"/>
        </w:rPr>
        <w:t>seq</w:t>
      </w:r>
      <w:proofErr w:type="spellEnd"/>
      <w:r w:rsidRPr="001D1E90">
        <w:rPr>
          <w:rFonts w:ascii="Palatino Linotype" w:eastAsia="SimHei" w:hAnsi="Palatino Linotype" w:cs="Times New Roman"/>
          <w:color w:val="000000"/>
          <w:sz w:val="18"/>
          <w:szCs w:val="18"/>
          <w:lang w:bidi="ar"/>
        </w:rPr>
        <w:t xml:space="preserve"> Log scale.</w:t>
      </w:r>
    </w:p>
    <w:p w:rsidR="00C210AA" w:rsidRPr="00164AA8" w:rsidRDefault="00C210AA" w:rsidP="004E4E45">
      <w:pPr>
        <w:spacing w:after="0" w:line="240" w:lineRule="auto"/>
        <w:jc w:val="both"/>
        <w:rPr>
          <w:rFonts w:ascii="Times New Roman" w:eastAsia="SimHei" w:hAnsi="Times New Roman" w:cs="Times New Roman"/>
          <w:color w:val="000000"/>
          <w:sz w:val="20"/>
          <w:szCs w:val="20"/>
          <w:lang w:bidi="ar"/>
        </w:rPr>
      </w:pPr>
    </w:p>
    <w:p w:rsidR="004E4E45" w:rsidRPr="00753059" w:rsidRDefault="004E4E45" w:rsidP="00C210AA">
      <w:pPr>
        <w:pBdr>
          <w:bottom w:val="single" w:sz="4" w:space="1" w:color="auto"/>
        </w:pBdr>
        <w:jc w:val="both"/>
        <w:rPr>
          <w:rFonts w:ascii="Palatino Linotype" w:hAnsi="Palatino Linotype" w:cs="Times New Roman"/>
          <w:noProof/>
          <w:sz w:val="18"/>
          <w:szCs w:val="18"/>
        </w:rPr>
      </w:pPr>
    </w:p>
    <w:sectPr w:rsidR="004E4E45" w:rsidRPr="0075305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378C8" w:rsidRDefault="00F378C8" w:rsidP="00BB2369">
      <w:pPr>
        <w:spacing w:after="0" w:line="240" w:lineRule="auto"/>
      </w:pPr>
      <w:r>
        <w:separator/>
      </w:r>
    </w:p>
  </w:endnote>
  <w:endnote w:type="continuationSeparator" w:id="0">
    <w:p w:rsidR="00F378C8" w:rsidRDefault="00F378C8" w:rsidP="00BB23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SimHei">
    <w:altName w:val="黑体"/>
    <w:panose1 w:val="02010609060101010101"/>
    <w:charset w:val="86"/>
    <w:family w:val="modern"/>
    <w:pitch w:val="fixed"/>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378C8" w:rsidRDefault="00F378C8" w:rsidP="00BB2369">
      <w:pPr>
        <w:spacing w:after="0" w:line="240" w:lineRule="auto"/>
      </w:pPr>
      <w:r>
        <w:separator/>
      </w:r>
    </w:p>
  </w:footnote>
  <w:footnote w:type="continuationSeparator" w:id="0">
    <w:p w:rsidR="00F378C8" w:rsidRDefault="00F378C8" w:rsidP="00BB2369">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A218F"/>
    <w:rsid w:val="00040CF4"/>
    <w:rsid w:val="000A218F"/>
    <w:rsid w:val="000E06E1"/>
    <w:rsid w:val="00100476"/>
    <w:rsid w:val="001D1E90"/>
    <w:rsid w:val="002277D5"/>
    <w:rsid w:val="002C3A27"/>
    <w:rsid w:val="002F3B3F"/>
    <w:rsid w:val="00421518"/>
    <w:rsid w:val="004411C8"/>
    <w:rsid w:val="004E4E45"/>
    <w:rsid w:val="00596133"/>
    <w:rsid w:val="005E724A"/>
    <w:rsid w:val="005F6D71"/>
    <w:rsid w:val="00687118"/>
    <w:rsid w:val="00753059"/>
    <w:rsid w:val="008F239B"/>
    <w:rsid w:val="00A2695B"/>
    <w:rsid w:val="00A34602"/>
    <w:rsid w:val="00AC1553"/>
    <w:rsid w:val="00B22CB9"/>
    <w:rsid w:val="00B87FE8"/>
    <w:rsid w:val="00BB2369"/>
    <w:rsid w:val="00BF17A7"/>
    <w:rsid w:val="00C02E20"/>
    <w:rsid w:val="00C210AA"/>
    <w:rsid w:val="00C825E4"/>
    <w:rsid w:val="00CE0767"/>
    <w:rsid w:val="00D856D1"/>
    <w:rsid w:val="00DA500D"/>
    <w:rsid w:val="00DD1625"/>
    <w:rsid w:val="00DD1F13"/>
    <w:rsid w:val="00E7267F"/>
    <w:rsid w:val="00E73072"/>
    <w:rsid w:val="00F34624"/>
    <w:rsid w:val="00F378C8"/>
    <w:rsid w:val="00F76B39"/>
    <w:rsid w:val="00FE329E"/>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Subtitle">
    <w:name w:val="Subtitle"/>
    <w:basedOn w:val="Normal"/>
    <w:next w:val="Normal"/>
    <w:link w:val="SubtitleChar"/>
    <w:uiPriority w:val="11"/>
    <w:qFormat/>
    <w:rsid w:val="000A218F"/>
    <w:pPr>
      <w:widowControl w:val="0"/>
      <w:spacing w:before="240" w:after="60" w:line="312" w:lineRule="auto"/>
      <w:jc w:val="center"/>
      <w:outlineLvl w:val="1"/>
    </w:pPr>
    <w:rPr>
      <w:rFonts w:asciiTheme="majorHAnsi" w:eastAsia="SimSun" w:hAnsiTheme="majorHAnsi" w:cstheme="majorBidi"/>
      <w:b/>
      <w:bCs/>
      <w:kern w:val="28"/>
      <w:sz w:val="32"/>
      <w:szCs w:val="32"/>
      <w:lang w:val="en-US"/>
    </w:rPr>
  </w:style>
  <w:style w:type="character" w:customStyle="1" w:styleId="SubtitleChar">
    <w:name w:val="Subtitle Char"/>
    <w:basedOn w:val="DefaultParagraphFont"/>
    <w:link w:val="Subtitle"/>
    <w:uiPriority w:val="11"/>
    <w:rsid w:val="000A218F"/>
    <w:rPr>
      <w:rFonts w:asciiTheme="majorHAnsi" w:eastAsia="SimSun" w:hAnsiTheme="majorHAnsi" w:cstheme="majorBidi"/>
      <w:b/>
      <w:bCs/>
      <w:kern w:val="28"/>
      <w:sz w:val="32"/>
      <w:szCs w:val="32"/>
      <w:lang w:val="en-US"/>
    </w:rPr>
  </w:style>
  <w:style w:type="character" w:styleId="Hyperlink">
    <w:name w:val="Hyperlink"/>
    <w:basedOn w:val="DefaultParagraphFont"/>
    <w:uiPriority w:val="99"/>
    <w:unhideWhenUsed/>
    <w:rsid w:val="000A218F"/>
    <w:rPr>
      <w:color w:val="0000FF" w:themeColor="hyperlink"/>
      <w:u w:val="single"/>
    </w:rPr>
  </w:style>
  <w:style w:type="paragraph" w:styleId="BalloonText">
    <w:name w:val="Balloon Text"/>
    <w:basedOn w:val="Normal"/>
    <w:link w:val="BalloonTextChar"/>
    <w:uiPriority w:val="99"/>
    <w:semiHidden/>
    <w:unhideWhenUsed/>
    <w:rsid w:val="000A218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A218F"/>
    <w:rPr>
      <w:rFonts w:ascii="Tahoma" w:hAnsi="Tahoma" w:cs="Tahoma"/>
      <w:sz w:val="16"/>
      <w:szCs w:val="16"/>
    </w:rPr>
  </w:style>
  <w:style w:type="paragraph" w:styleId="Header">
    <w:name w:val="header"/>
    <w:basedOn w:val="Normal"/>
    <w:link w:val="HeaderChar"/>
    <w:uiPriority w:val="99"/>
    <w:unhideWhenUsed/>
    <w:rsid w:val="00BB2369"/>
    <w:pPr>
      <w:tabs>
        <w:tab w:val="center" w:pos="4513"/>
        <w:tab w:val="right" w:pos="9026"/>
      </w:tabs>
      <w:spacing w:after="0" w:line="240" w:lineRule="auto"/>
    </w:pPr>
  </w:style>
  <w:style w:type="character" w:customStyle="1" w:styleId="HeaderChar">
    <w:name w:val="Header Char"/>
    <w:basedOn w:val="DefaultParagraphFont"/>
    <w:link w:val="Header"/>
    <w:uiPriority w:val="99"/>
    <w:rsid w:val="00BB2369"/>
  </w:style>
  <w:style w:type="paragraph" w:styleId="Footer">
    <w:name w:val="footer"/>
    <w:basedOn w:val="Normal"/>
    <w:link w:val="FooterChar"/>
    <w:uiPriority w:val="99"/>
    <w:unhideWhenUsed/>
    <w:rsid w:val="00BB2369"/>
    <w:pPr>
      <w:tabs>
        <w:tab w:val="center" w:pos="4513"/>
        <w:tab w:val="right" w:pos="9026"/>
      </w:tabs>
      <w:spacing w:after="0" w:line="240" w:lineRule="auto"/>
    </w:pPr>
  </w:style>
  <w:style w:type="character" w:customStyle="1" w:styleId="FooterChar">
    <w:name w:val="Footer Char"/>
    <w:basedOn w:val="DefaultParagraphFont"/>
    <w:link w:val="Footer"/>
    <w:uiPriority w:val="99"/>
    <w:rsid w:val="00BB2369"/>
  </w:style>
  <w:style w:type="paragraph" w:customStyle="1" w:styleId="MDPI51figurecaption">
    <w:name w:val="MDPI_5.1_figure_caption"/>
    <w:basedOn w:val="Normal"/>
    <w:qFormat/>
    <w:rsid w:val="00596133"/>
    <w:pPr>
      <w:adjustRightInd w:val="0"/>
      <w:snapToGrid w:val="0"/>
      <w:spacing w:before="120" w:after="240" w:line="260" w:lineRule="atLeast"/>
      <w:ind w:left="425" w:right="425"/>
      <w:jc w:val="both"/>
    </w:pPr>
    <w:rPr>
      <w:rFonts w:ascii="Palatino Linotype" w:eastAsia="Times New Roman" w:hAnsi="Palatino Linotype" w:cs="Times New Roman"/>
      <w:color w:val="000000"/>
      <w:sz w:val="18"/>
      <w:szCs w:val="20"/>
      <w:lang w:val="en-US" w:eastAsia="de-DE" w:bidi="en-US"/>
    </w:rPr>
  </w:style>
  <w:style w:type="paragraph" w:customStyle="1" w:styleId="MDPI22heading2">
    <w:name w:val="MDPI_2.2_heading2"/>
    <w:basedOn w:val="Normal"/>
    <w:qFormat/>
    <w:rsid w:val="004411C8"/>
    <w:pPr>
      <w:kinsoku w:val="0"/>
      <w:overflowPunct w:val="0"/>
      <w:autoSpaceDE w:val="0"/>
      <w:autoSpaceDN w:val="0"/>
      <w:adjustRightInd w:val="0"/>
      <w:snapToGrid w:val="0"/>
      <w:spacing w:before="240" w:after="120" w:line="260" w:lineRule="atLeast"/>
      <w:outlineLvl w:val="1"/>
    </w:pPr>
    <w:rPr>
      <w:rFonts w:ascii="Palatino Linotype" w:eastAsia="Times New Roman" w:hAnsi="Palatino Linotype" w:cs="Times New Roman"/>
      <w:i/>
      <w:noProof/>
      <w:snapToGrid w:val="0"/>
      <w:color w:val="000000"/>
      <w:sz w:val="20"/>
      <w:lang w:val="en-US" w:eastAsia="de-DE" w:bidi="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Subtitle">
    <w:name w:val="Subtitle"/>
    <w:basedOn w:val="Normal"/>
    <w:next w:val="Normal"/>
    <w:link w:val="SubtitleChar"/>
    <w:uiPriority w:val="11"/>
    <w:qFormat/>
    <w:rsid w:val="000A218F"/>
    <w:pPr>
      <w:widowControl w:val="0"/>
      <w:spacing w:before="240" w:after="60" w:line="312" w:lineRule="auto"/>
      <w:jc w:val="center"/>
      <w:outlineLvl w:val="1"/>
    </w:pPr>
    <w:rPr>
      <w:rFonts w:asciiTheme="majorHAnsi" w:eastAsia="SimSun" w:hAnsiTheme="majorHAnsi" w:cstheme="majorBidi"/>
      <w:b/>
      <w:bCs/>
      <w:kern w:val="28"/>
      <w:sz w:val="32"/>
      <w:szCs w:val="32"/>
      <w:lang w:val="en-US"/>
    </w:rPr>
  </w:style>
  <w:style w:type="character" w:customStyle="1" w:styleId="SubtitleChar">
    <w:name w:val="Subtitle Char"/>
    <w:basedOn w:val="DefaultParagraphFont"/>
    <w:link w:val="Subtitle"/>
    <w:uiPriority w:val="11"/>
    <w:rsid w:val="000A218F"/>
    <w:rPr>
      <w:rFonts w:asciiTheme="majorHAnsi" w:eastAsia="SimSun" w:hAnsiTheme="majorHAnsi" w:cstheme="majorBidi"/>
      <w:b/>
      <w:bCs/>
      <w:kern w:val="28"/>
      <w:sz w:val="32"/>
      <w:szCs w:val="32"/>
      <w:lang w:val="en-US"/>
    </w:rPr>
  </w:style>
  <w:style w:type="character" w:styleId="Hyperlink">
    <w:name w:val="Hyperlink"/>
    <w:basedOn w:val="DefaultParagraphFont"/>
    <w:uiPriority w:val="99"/>
    <w:unhideWhenUsed/>
    <w:rsid w:val="000A218F"/>
    <w:rPr>
      <w:color w:val="0000FF" w:themeColor="hyperlink"/>
      <w:u w:val="single"/>
    </w:rPr>
  </w:style>
  <w:style w:type="paragraph" w:styleId="BalloonText">
    <w:name w:val="Balloon Text"/>
    <w:basedOn w:val="Normal"/>
    <w:link w:val="BalloonTextChar"/>
    <w:uiPriority w:val="99"/>
    <w:semiHidden/>
    <w:unhideWhenUsed/>
    <w:rsid w:val="000A218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A218F"/>
    <w:rPr>
      <w:rFonts w:ascii="Tahoma" w:hAnsi="Tahoma" w:cs="Tahoma"/>
      <w:sz w:val="16"/>
      <w:szCs w:val="16"/>
    </w:rPr>
  </w:style>
  <w:style w:type="paragraph" w:styleId="Header">
    <w:name w:val="header"/>
    <w:basedOn w:val="Normal"/>
    <w:link w:val="HeaderChar"/>
    <w:uiPriority w:val="99"/>
    <w:unhideWhenUsed/>
    <w:rsid w:val="00BB2369"/>
    <w:pPr>
      <w:tabs>
        <w:tab w:val="center" w:pos="4513"/>
        <w:tab w:val="right" w:pos="9026"/>
      </w:tabs>
      <w:spacing w:after="0" w:line="240" w:lineRule="auto"/>
    </w:pPr>
  </w:style>
  <w:style w:type="character" w:customStyle="1" w:styleId="HeaderChar">
    <w:name w:val="Header Char"/>
    <w:basedOn w:val="DefaultParagraphFont"/>
    <w:link w:val="Header"/>
    <w:uiPriority w:val="99"/>
    <w:rsid w:val="00BB2369"/>
  </w:style>
  <w:style w:type="paragraph" w:styleId="Footer">
    <w:name w:val="footer"/>
    <w:basedOn w:val="Normal"/>
    <w:link w:val="FooterChar"/>
    <w:uiPriority w:val="99"/>
    <w:unhideWhenUsed/>
    <w:rsid w:val="00BB2369"/>
    <w:pPr>
      <w:tabs>
        <w:tab w:val="center" w:pos="4513"/>
        <w:tab w:val="right" w:pos="9026"/>
      </w:tabs>
      <w:spacing w:after="0" w:line="240" w:lineRule="auto"/>
    </w:pPr>
  </w:style>
  <w:style w:type="character" w:customStyle="1" w:styleId="FooterChar">
    <w:name w:val="Footer Char"/>
    <w:basedOn w:val="DefaultParagraphFont"/>
    <w:link w:val="Footer"/>
    <w:uiPriority w:val="99"/>
    <w:rsid w:val="00BB2369"/>
  </w:style>
  <w:style w:type="paragraph" w:customStyle="1" w:styleId="MDPI51figurecaption">
    <w:name w:val="MDPI_5.1_figure_caption"/>
    <w:basedOn w:val="Normal"/>
    <w:qFormat/>
    <w:rsid w:val="00596133"/>
    <w:pPr>
      <w:adjustRightInd w:val="0"/>
      <w:snapToGrid w:val="0"/>
      <w:spacing w:before="120" w:after="240" w:line="260" w:lineRule="atLeast"/>
      <w:ind w:left="425" w:right="425"/>
      <w:jc w:val="both"/>
    </w:pPr>
    <w:rPr>
      <w:rFonts w:ascii="Palatino Linotype" w:eastAsia="Times New Roman" w:hAnsi="Palatino Linotype" w:cs="Times New Roman"/>
      <w:color w:val="000000"/>
      <w:sz w:val="18"/>
      <w:szCs w:val="20"/>
      <w:lang w:val="en-US" w:eastAsia="de-DE" w:bidi="en-US"/>
    </w:rPr>
  </w:style>
  <w:style w:type="paragraph" w:customStyle="1" w:styleId="MDPI22heading2">
    <w:name w:val="MDPI_2.2_heading2"/>
    <w:basedOn w:val="Normal"/>
    <w:qFormat/>
    <w:rsid w:val="004411C8"/>
    <w:pPr>
      <w:kinsoku w:val="0"/>
      <w:overflowPunct w:val="0"/>
      <w:autoSpaceDE w:val="0"/>
      <w:autoSpaceDN w:val="0"/>
      <w:adjustRightInd w:val="0"/>
      <w:snapToGrid w:val="0"/>
      <w:spacing w:before="240" w:after="120" w:line="260" w:lineRule="atLeast"/>
      <w:outlineLvl w:val="1"/>
    </w:pPr>
    <w:rPr>
      <w:rFonts w:ascii="Palatino Linotype" w:eastAsia="Times New Roman" w:hAnsi="Palatino Linotype" w:cs="Times New Roman"/>
      <w:i/>
      <w:noProof/>
      <w:snapToGrid w:val="0"/>
      <w:color w:val="000000"/>
      <w:sz w:val="20"/>
      <w:lang w:val="en-US" w:eastAsia="de-DE"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72687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chart" Target="charts/chart1.xml"/><Relationship Id="rId12" Type="http://schemas.openxmlformats.org/officeDocument/2006/relationships/image" Target="media/image5.png"/><Relationship Id="rId17"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jpeg"/><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png"/></Relationships>
</file>

<file path=word/charts/_rels/chart1.xml.rels><?xml version="1.0" encoding="UTF-8" standalone="yes"?>
<Relationships xmlns="http://schemas.openxmlformats.org/package/2006/relationships"><Relationship Id="rId1" Type="http://schemas.openxmlformats.org/officeDocument/2006/relationships/oleObject" Target="file:///C:\Users\lenovo\Desktop\Physiological%20Indicator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catterChart>
        <c:scatterStyle val="lineMarker"/>
        <c:varyColors val="0"/>
        <c:ser>
          <c:idx val="0"/>
          <c:order val="0"/>
          <c:tx>
            <c:strRef>
              <c:f>POD!$A$2</c:f>
              <c:strCache>
                <c:ptCount val="1"/>
                <c:pt idx="0">
                  <c:v>non-stressed Mo17 1</c:v>
                </c:pt>
              </c:strCache>
            </c:strRef>
          </c:tx>
          <c:spPr>
            <a:ln w="28575">
              <a:noFill/>
            </a:ln>
          </c:spPr>
          <c:trendline>
            <c:trendlineType val="linear"/>
            <c:dispRSqr val="0"/>
            <c:dispEq val="1"/>
            <c:trendlineLbl>
              <c:numFmt formatCode="General" sourceLinked="0"/>
            </c:trendlineLbl>
          </c:trendline>
          <c:xVal>
            <c:numRef>
              <c:f>POD!$B$1:$G$1</c:f>
              <c:numCache>
                <c:formatCode>General</c:formatCode>
                <c:ptCount val="6"/>
                <c:pt idx="0">
                  <c:v>13</c:v>
                </c:pt>
                <c:pt idx="1">
                  <c:v>14</c:v>
                </c:pt>
                <c:pt idx="2">
                  <c:v>17</c:v>
                </c:pt>
                <c:pt idx="3">
                  <c:v>20</c:v>
                </c:pt>
                <c:pt idx="4">
                  <c:v>23</c:v>
                </c:pt>
                <c:pt idx="5">
                  <c:v>26</c:v>
                </c:pt>
              </c:numCache>
            </c:numRef>
          </c:xVal>
          <c:yVal>
            <c:numRef>
              <c:f>POD!$B$2:$G$2</c:f>
              <c:numCache>
                <c:formatCode>General</c:formatCode>
                <c:ptCount val="6"/>
                <c:pt idx="0">
                  <c:v>13.26</c:v>
                </c:pt>
                <c:pt idx="1">
                  <c:v>12.43</c:v>
                </c:pt>
                <c:pt idx="2">
                  <c:v>12.93</c:v>
                </c:pt>
                <c:pt idx="3">
                  <c:v>14.43</c:v>
                </c:pt>
                <c:pt idx="4">
                  <c:v>15.13</c:v>
                </c:pt>
                <c:pt idx="5">
                  <c:v>15.23</c:v>
                </c:pt>
              </c:numCache>
            </c:numRef>
          </c:yVal>
          <c:smooth val="0"/>
        </c:ser>
        <c:ser>
          <c:idx val="1"/>
          <c:order val="1"/>
          <c:tx>
            <c:strRef>
              <c:f>POD!$A$3</c:f>
              <c:strCache>
                <c:ptCount val="1"/>
                <c:pt idx="0">
                  <c:v>non-stressed Mo17 2</c:v>
                </c:pt>
              </c:strCache>
            </c:strRef>
          </c:tx>
          <c:spPr>
            <a:ln w="28575">
              <a:noFill/>
            </a:ln>
          </c:spPr>
          <c:xVal>
            <c:numRef>
              <c:f>POD!$B$1:$G$1</c:f>
              <c:numCache>
                <c:formatCode>General</c:formatCode>
                <c:ptCount val="6"/>
                <c:pt idx="0">
                  <c:v>13</c:v>
                </c:pt>
                <c:pt idx="1">
                  <c:v>14</c:v>
                </c:pt>
                <c:pt idx="2">
                  <c:v>17</c:v>
                </c:pt>
                <c:pt idx="3">
                  <c:v>20</c:v>
                </c:pt>
                <c:pt idx="4">
                  <c:v>23</c:v>
                </c:pt>
                <c:pt idx="5">
                  <c:v>26</c:v>
                </c:pt>
              </c:numCache>
            </c:numRef>
          </c:xVal>
          <c:yVal>
            <c:numRef>
              <c:f>POD!$B$3:$G$3</c:f>
              <c:numCache>
                <c:formatCode>General</c:formatCode>
                <c:ptCount val="6"/>
                <c:pt idx="0">
                  <c:v>13.8</c:v>
                </c:pt>
                <c:pt idx="1">
                  <c:v>16</c:v>
                </c:pt>
                <c:pt idx="2">
                  <c:v>16.8</c:v>
                </c:pt>
                <c:pt idx="3">
                  <c:v>17.3</c:v>
                </c:pt>
                <c:pt idx="4">
                  <c:v>18</c:v>
                </c:pt>
                <c:pt idx="5">
                  <c:v>18.54</c:v>
                </c:pt>
              </c:numCache>
            </c:numRef>
          </c:yVal>
          <c:smooth val="0"/>
        </c:ser>
        <c:ser>
          <c:idx val="2"/>
          <c:order val="2"/>
          <c:tx>
            <c:strRef>
              <c:f>POD!$A$4</c:f>
              <c:strCache>
                <c:ptCount val="1"/>
                <c:pt idx="0">
                  <c:v>non-stressed Mo17 3</c:v>
                </c:pt>
              </c:strCache>
            </c:strRef>
          </c:tx>
          <c:spPr>
            <a:ln w="28575">
              <a:noFill/>
            </a:ln>
          </c:spPr>
          <c:xVal>
            <c:numRef>
              <c:f>POD!$B$1:$G$1</c:f>
              <c:numCache>
                <c:formatCode>General</c:formatCode>
                <c:ptCount val="6"/>
                <c:pt idx="0">
                  <c:v>13</c:v>
                </c:pt>
                <c:pt idx="1">
                  <c:v>14</c:v>
                </c:pt>
                <c:pt idx="2">
                  <c:v>17</c:v>
                </c:pt>
                <c:pt idx="3">
                  <c:v>20</c:v>
                </c:pt>
                <c:pt idx="4">
                  <c:v>23</c:v>
                </c:pt>
                <c:pt idx="5">
                  <c:v>26</c:v>
                </c:pt>
              </c:numCache>
            </c:numRef>
          </c:xVal>
          <c:yVal>
            <c:numRef>
              <c:f>POD!$B$4:$G$4</c:f>
              <c:numCache>
                <c:formatCode>General</c:formatCode>
                <c:ptCount val="6"/>
                <c:pt idx="0">
                  <c:v>12.719999999999999</c:v>
                </c:pt>
                <c:pt idx="1">
                  <c:v>8.86</c:v>
                </c:pt>
                <c:pt idx="2">
                  <c:v>9.0599999999999987</c:v>
                </c:pt>
                <c:pt idx="3">
                  <c:v>11.559999999999999</c:v>
                </c:pt>
                <c:pt idx="4">
                  <c:v>12.260000000000002</c:v>
                </c:pt>
                <c:pt idx="5">
                  <c:v>11.920000000000002</c:v>
                </c:pt>
              </c:numCache>
            </c:numRef>
          </c:yVal>
          <c:smooth val="0"/>
        </c:ser>
        <c:ser>
          <c:idx val="3"/>
          <c:order val="3"/>
          <c:tx>
            <c:strRef>
              <c:f>POD!$A$5</c:f>
              <c:strCache>
                <c:ptCount val="1"/>
                <c:pt idx="0">
                  <c:v>stressed Mo17 1</c:v>
                </c:pt>
              </c:strCache>
            </c:strRef>
          </c:tx>
          <c:spPr>
            <a:ln w="28575">
              <a:noFill/>
            </a:ln>
          </c:spPr>
          <c:trendline>
            <c:trendlineType val="linear"/>
            <c:dispRSqr val="0"/>
            <c:dispEq val="1"/>
            <c:trendlineLbl>
              <c:layout>
                <c:manualLayout>
                  <c:x val="-3.2497594050743657E-2"/>
                  <c:y val="5.5814012831729369E-2"/>
                </c:manualLayout>
              </c:layout>
              <c:numFmt formatCode="General" sourceLinked="0"/>
            </c:trendlineLbl>
          </c:trendline>
          <c:xVal>
            <c:numRef>
              <c:f>POD!$B$1:$G$1</c:f>
              <c:numCache>
                <c:formatCode>General</c:formatCode>
                <c:ptCount val="6"/>
                <c:pt idx="0">
                  <c:v>13</c:v>
                </c:pt>
                <c:pt idx="1">
                  <c:v>14</c:v>
                </c:pt>
                <c:pt idx="2">
                  <c:v>17</c:v>
                </c:pt>
                <c:pt idx="3">
                  <c:v>20</c:v>
                </c:pt>
                <c:pt idx="4">
                  <c:v>23</c:v>
                </c:pt>
                <c:pt idx="5">
                  <c:v>26</c:v>
                </c:pt>
              </c:numCache>
            </c:numRef>
          </c:xVal>
          <c:yVal>
            <c:numRef>
              <c:f>POD!$B$5:$G$5</c:f>
              <c:numCache>
                <c:formatCode>General</c:formatCode>
                <c:ptCount val="6"/>
                <c:pt idx="0">
                  <c:v>13.99</c:v>
                </c:pt>
                <c:pt idx="1">
                  <c:v>16.93</c:v>
                </c:pt>
                <c:pt idx="2">
                  <c:v>20.03</c:v>
                </c:pt>
                <c:pt idx="3">
                  <c:v>22.53</c:v>
                </c:pt>
                <c:pt idx="4">
                  <c:v>24.73</c:v>
                </c:pt>
                <c:pt idx="5">
                  <c:v>26.23</c:v>
                </c:pt>
              </c:numCache>
            </c:numRef>
          </c:yVal>
          <c:smooth val="0"/>
        </c:ser>
        <c:ser>
          <c:idx val="4"/>
          <c:order val="4"/>
          <c:tx>
            <c:strRef>
              <c:f>POD!$A$6</c:f>
              <c:strCache>
                <c:ptCount val="1"/>
                <c:pt idx="0">
                  <c:v>stressed Mo17 2</c:v>
                </c:pt>
              </c:strCache>
            </c:strRef>
          </c:tx>
          <c:spPr>
            <a:ln w="28575">
              <a:noFill/>
            </a:ln>
          </c:spPr>
          <c:xVal>
            <c:numRef>
              <c:f>POD!$B$1:$G$1</c:f>
              <c:numCache>
                <c:formatCode>General</c:formatCode>
                <c:ptCount val="6"/>
                <c:pt idx="0">
                  <c:v>13</c:v>
                </c:pt>
                <c:pt idx="1">
                  <c:v>14</c:v>
                </c:pt>
                <c:pt idx="2">
                  <c:v>17</c:v>
                </c:pt>
                <c:pt idx="3">
                  <c:v>20</c:v>
                </c:pt>
                <c:pt idx="4">
                  <c:v>23</c:v>
                </c:pt>
                <c:pt idx="5">
                  <c:v>26</c:v>
                </c:pt>
              </c:numCache>
            </c:numRef>
          </c:xVal>
          <c:yVal>
            <c:numRef>
              <c:f>POD!$B$6:$G$6</c:f>
              <c:numCache>
                <c:formatCode>General</c:formatCode>
                <c:ptCount val="6"/>
                <c:pt idx="0">
                  <c:v>15</c:v>
                </c:pt>
                <c:pt idx="1">
                  <c:v>15.8</c:v>
                </c:pt>
                <c:pt idx="2">
                  <c:v>19</c:v>
                </c:pt>
                <c:pt idx="3">
                  <c:v>21</c:v>
                </c:pt>
                <c:pt idx="4">
                  <c:v>23.2</c:v>
                </c:pt>
                <c:pt idx="5">
                  <c:v>24.7</c:v>
                </c:pt>
              </c:numCache>
            </c:numRef>
          </c:yVal>
          <c:smooth val="0"/>
        </c:ser>
        <c:ser>
          <c:idx val="5"/>
          <c:order val="5"/>
          <c:tx>
            <c:strRef>
              <c:f>POD!$A$7</c:f>
              <c:strCache>
                <c:ptCount val="1"/>
                <c:pt idx="0">
                  <c:v>stressed Mo17 3</c:v>
                </c:pt>
              </c:strCache>
            </c:strRef>
          </c:tx>
          <c:spPr>
            <a:ln w="28575">
              <a:noFill/>
            </a:ln>
          </c:spPr>
          <c:xVal>
            <c:numRef>
              <c:f>POD!$B$1:$G$1</c:f>
              <c:numCache>
                <c:formatCode>General</c:formatCode>
                <c:ptCount val="6"/>
                <c:pt idx="0">
                  <c:v>13</c:v>
                </c:pt>
                <c:pt idx="1">
                  <c:v>14</c:v>
                </c:pt>
                <c:pt idx="2">
                  <c:v>17</c:v>
                </c:pt>
                <c:pt idx="3">
                  <c:v>20</c:v>
                </c:pt>
                <c:pt idx="4">
                  <c:v>23</c:v>
                </c:pt>
                <c:pt idx="5">
                  <c:v>26</c:v>
                </c:pt>
              </c:numCache>
            </c:numRef>
          </c:xVal>
          <c:yVal>
            <c:numRef>
              <c:f>POD!$B$7:$G$7</c:f>
              <c:numCache>
                <c:formatCode>General</c:formatCode>
                <c:ptCount val="6"/>
                <c:pt idx="0">
                  <c:v>12.98</c:v>
                </c:pt>
                <c:pt idx="1">
                  <c:v>18.059999999999999</c:v>
                </c:pt>
                <c:pt idx="2">
                  <c:v>21.060000000000002</c:v>
                </c:pt>
                <c:pt idx="3">
                  <c:v>24.060000000000002</c:v>
                </c:pt>
                <c:pt idx="4">
                  <c:v>26.26</c:v>
                </c:pt>
                <c:pt idx="5">
                  <c:v>27.76</c:v>
                </c:pt>
              </c:numCache>
            </c:numRef>
          </c:yVal>
          <c:smooth val="0"/>
        </c:ser>
        <c:ser>
          <c:idx val="6"/>
          <c:order val="6"/>
          <c:tx>
            <c:strRef>
              <c:f>POD!$A$8</c:f>
              <c:strCache>
                <c:ptCount val="1"/>
                <c:pt idx="0">
                  <c:v>non-stressed Ye8112 1</c:v>
                </c:pt>
              </c:strCache>
            </c:strRef>
          </c:tx>
          <c:spPr>
            <a:ln w="28575">
              <a:noFill/>
            </a:ln>
          </c:spPr>
          <c:trendline>
            <c:trendlineType val="linear"/>
            <c:dispRSqr val="0"/>
            <c:dispEq val="1"/>
            <c:trendlineLbl>
              <c:numFmt formatCode="General" sourceLinked="0"/>
            </c:trendlineLbl>
          </c:trendline>
          <c:xVal>
            <c:numRef>
              <c:f>POD!$B$1:$G$1</c:f>
              <c:numCache>
                <c:formatCode>General</c:formatCode>
                <c:ptCount val="6"/>
                <c:pt idx="0">
                  <c:v>13</c:v>
                </c:pt>
                <c:pt idx="1">
                  <c:v>14</c:v>
                </c:pt>
                <c:pt idx="2">
                  <c:v>17</c:v>
                </c:pt>
                <c:pt idx="3">
                  <c:v>20</c:v>
                </c:pt>
                <c:pt idx="4">
                  <c:v>23</c:v>
                </c:pt>
                <c:pt idx="5">
                  <c:v>26</c:v>
                </c:pt>
              </c:numCache>
            </c:numRef>
          </c:xVal>
          <c:yVal>
            <c:numRef>
              <c:f>POD!$B$8:$G$8</c:f>
              <c:numCache>
                <c:formatCode>General</c:formatCode>
                <c:ptCount val="6"/>
                <c:pt idx="0">
                  <c:v>28</c:v>
                </c:pt>
                <c:pt idx="1">
                  <c:v>27.23</c:v>
                </c:pt>
                <c:pt idx="2">
                  <c:v>28.03</c:v>
                </c:pt>
                <c:pt idx="3">
                  <c:v>28.13</c:v>
                </c:pt>
                <c:pt idx="4">
                  <c:v>28.93</c:v>
                </c:pt>
                <c:pt idx="5">
                  <c:v>29.93</c:v>
                </c:pt>
              </c:numCache>
            </c:numRef>
          </c:yVal>
          <c:smooth val="0"/>
        </c:ser>
        <c:ser>
          <c:idx val="7"/>
          <c:order val="7"/>
          <c:tx>
            <c:strRef>
              <c:f>POD!$A$9</c:f>
              <c:strCache>
                <c:ptCount val="1"/>
                <c:pt idx="0">
                  <c:v>non-stressed Ye8112 2</c:v>
                </c:pt>
              </c:strCache>
            </c:strRef>
          </c:tx>
          <c:spPr>
            <a:ln w="28575">
              <a:noFill/>
            </a:ln>
          </c:spPr>
          <c:xVal>
            <c:numRef>
              <c:f>POD!$B$1:$G$1</c:f>
              <c:numCache>
                <c:formatCode>General</c:formatCode>
                <c:ptCount val="6"/>
                <c:pt idx="0">
                  <c:v>13</c:v>
                </c:pt>
                <c:pt idx="1">
                  <c:v>14</c:v>
                </c:pt>
                <c:pt idx="2">
                  <c:v>17</c:v>
                </c:pt>
                <c:pt idx="3">
                  <c:v>20</c:v>
                </c:pt>
                <c:pt idx="4">
                  <c:v>23</c:v>
                </c:pt>
                <c:pt idx="5">
                  <c:v>26</c:v>
                </c:pt>
              </c:numCache>
            </c:numRef>
          </c:xVal>
          <c:yVal>
            <c:numRef>
              <c:f>POD!$B$9:$G$9</c:f>
              <c:numCache>
                <c:formatCode>General</c:formatCode>
                <c:ptCount val="6"/>
                <c:pt idx="0">
                  <c:v>29</c:v>
                </c:pt>
                <c:pt idx="1">
                  <c:v>28.2</c:v>
                </c:pt>
                <c:pt idx="2">
                  <c:v>26.8</c:v>
                </c:pt>
                <c:pt idx="3">
                  <c:v>29.4</c:v>
                </c:pt>
                <c:pt idx="4">
                  <c:v>27.9</c:v>
                </c:pt>
                <c:pt idx="5">
                  <c:v>28.4</c:v>
                </c:pt>
              </c:numCache>
            </c:numRef>
          </c:yVal>
          <c:smooth val="0"/>
        </c:ser>
        <c:ser>
          <c:idx val="8"/>
          <c:order val="8"/>
          <c:tx>
            <c:strRef>
              <c:f>POD!$A$10</c:f>
              <c:strCache>
                <c:ptCount val="1"/>
                <c:pt idx="0">
                  <c:v>non-stressed Ye8112 3</c:v>
                </c:pt>
              </c:strCache>
            </c:strRef>
          </c:tx>
          <c:spPr>
            <a:ln w="28575">
              <a:noFill/>
            </a:ln>
          </c:spPr>
          <c:xVal>
            <c:numRef>
              <c:f>POD!$B$1:$G$1</c:f>
              <c:numCache>
                <c:formatCode>General</c:formatCode>
                <c:ptCount val="6"/>
                <c:pt idx="0">
                  <c:v>13</c:v>
                </c:pt>
                <c:pt idx="1">
                  <c:v>14</c:v>
                </c:pt>
                <c:pt idx="2">
                  <c:v>17</c:v>
                </c:pt>
                <c:pt idx="3">
                  <c:v>20</c:v>
                </c:pt>
                <c:pt idx="4">
                  <c:v>23</c:v>
                </c:pt>
                <c:pt idx="5">
                  <c:v>26</c:v>
                </c:pt>
              </c:numCache>
            </c:numRef>
          </c:xVal>
          <c:yVal>
            <c:numRef>
              <c:f>POD!$B$10:$G$10</c:f>
              <c:numCache>
                <c:formatCode>General</c:formatCode>
                <c:ptCount val="6"/>
                <c:pt idx="0">
                  <c:v>27</c:v>
                </c:pt>
                <c:pt idx="1">
                  <c:v>26.26</c:v>
                </c:pt>
                <c:pt idx="2">
                  <c:v>29.26</c:v>
                </c:pt>
                <c:pt idx="3">
                  <c:v>26.86</c:v>
                </c:pt>
                <c:pt idx="4">
                  <c:v>29.96</c:v>
                </c:pt>
                <c:pt idx="5">
                  <c:v>31.46</c:v>
                </c:pt>
              </c:numCache>
            </c:numRef>
          </c:yVal>
          <c:smooth val="0"/>
        </c:ser>
        <c:ser>
          <c:idx val="9"/>
          <c:order val="9"/>
          <c:tx>
            <c:strRef>
              <c:f>POD!$A$11</c:f>
              <c:strCache>
                <c:ptCount val="1"/>
                <c:pt idx="0">
                  <c:v>stressed Ye8112 1</c:v>
                </c:pt>
              </c:strCache>
            </c:strRef>
          </c:tx>
          <c:spPr>
            <a:ln w="28575">
              <a:noFill/>
            </a:ln>
          </c:spPr>
          <c:trendline>
            <c:trendlineType val="linear"/>
            <c:dispRSqr val="0"/>
            <c:dispEq val="1"/>
            <c:trendlineLbl>
              <c:numFmt formatCode="General" sourceLinked="0"/>
            </c:trendlineLbl>
          </c:trendline>
          <c:xVal>
            <c:numRef>
              <c:f>POD!$B$1:$G$1</c:f>
              <c:numCache>
                <c:formatCode>General</c:formatCode>
                <c:ptCount val="6"/>
                <c:pt idx="0">
                  <c:v>13</c:v>
                </c:pt>
                <c:pt idx="1">
                  <c:v>14</c:v>
                </c:pt>
                <c:pt idx="2">
                  <c:v>17</c:v>
                </c:pt>
                <c:pt idx="3">
                  <c:v>20</c:v>
                </c:pt>
                <c:pt idx="4">
                  <c:v>23</c:v>
                </c:pt>
                <c:pt idx="5">
                  <c:v>26</c:v>
                </c:pt>
              </c:numCache>
            </c:numRef>
          </c:xVal>
          <c:yVal>
            <c:numRef>
              <c:f>POD!$B$11:$G$11</c:f>
              <c:numCache>
                <c:formatCode>General</c:formatCode>
                <c:ptCount val="6"/>
                <c:pt idx="0">
                  <c:v>29</c:v>
                </c:pt>
                <c:pt idx="1">
                  <c:v>31.13</c:v>
                </c:pt>
                <c:pt idx="2">
                  <c:v>34.93</c:v>
                </c:pt>
                <c:pt idx="3">
                  <c:v>38.729999999999997</c:v>
                </c:pt>
                <c:pt idx="4">
                  <c:v>41.63</c:v>
                </c:pt>
                <c:pt idx="5">
                  <c:v>44.63</c:v>
                </c:pt>
              </c:numCache>
            </c:numRef>
          </c:yVal>
          <c:smooth val="0"/>
        </c:ser>
        <c:ser>
          <c:idx val="10"/>
          <c:order val="10"/>
          <c:tx>
            <c:strRef>
              <c:f>POD!$A$12</c:f>
              <c:strCache>
                <c:ptCount val="1"/>
                <c:pt idx="0">
                  <c:v>stressed Ye8112 2</c:v>
                </c:pt>
              </c:strCache>
            </c:strRef>
          </c:tx>
          <c:spPr>
            <a:ln w="28575">
              <a:noFill/>
            </a:ln>
          </c:spPr>
          <c:xVal>
            <c:numRef>
              <c:f>POD!$B$1:$G$1</c:f>
              <c:numCache>
                <c:formatCode>General</c:formatCode>
                <c:ptCount val="6"/>
                <c:pt idx="0">
                  <c:v>13</c:v>
                </c:pt>
                <c:pt idx="1">
                  <c:v>14</c:v>
                </c:pt>
                <c:pt idx="2">
                  <c:v>17</c:v>
                </c:pt>
                <c:pt idx="3">
                  <c:v>20</c:v>
                </c:pt>
                <c:pt idx="4">
                  <c:v>23</c:v>
                </c:pt>
                <c:pt idx="5">
                  <c:v>26</c:v>
                </c:pt>
              </c:numCache>
            </c:numRef>
          </c:xVal>
          <c:yVal>
            <c:numRef>
              <c:f>POD!$B$12:$G$12</c:f>
              <c:numCache>
                <c:formatCode>General</c:formatCode>
                <c:ptCount val="6"/>
                <c:pt idx="0">
                  <c:v>28</c:v>
                </c:pt>
                <c:pt idx="1">
                  <c:v>33</c:v>
                </c:pt>
                <c:pt idx="2">
                  <c:v>38</c:v>
                </c:pt>
                <c:pt idx="3">
                  <c:v>43</c:v>
                </c:pt>
                <c:pt idx="4">
                  <c:v>46</c:v>
                </c:pt>
                <c:pt idx="5">
                  <c:v>49</c:v>
                </c:pt>
              </c:numCache>
            </c:numRef>
          </c:yVal>
          <c:smooth val="0"/>
        </c:ser>
        <c:ser>
          <c:idx val="11"/>
          <c:order val="11"/>
          <c:tx>
            <c:strRef>
              <c:f>POD!$A$13</c:f>
              <c:strCache>
                <c:ptCount val="1"/>
                <c:pt idx="0">
                  <c:v>stressed Ye8112 3</c:v>
                </c:pt>
              </c:strCache>
            </c:strRef>
          </c:tx>
          <c:spPr>
            <a:ln w="28575">
              <a:noFill/>
            </a:ln>
          </c:spPr>
          <c:xVal>
            <c:numRef>
              <c:f>POD!$B$1:$G$1</c:f>
              <c:numCache>
                <c:formatCode>General</c:formatCode>
                <c:ptCount val="6"/>
                <c:pt idx="0">
                  <c:v>13</c:v>
                </c:pt>
                <c:pt idx="1">
                  <c:v>14</c:v>
                </c:pt>
                <c:pt idx="2">
                  <c:v>17</c:v>
                </c:pt>
                <c:pt idx="3">
                  <c:v>20</c:v>
                </c:pt>
                <c:pt idx="4">
                  <c:v>23</c:v>
                </c:pt>
                <c:pt idx="5">
                  <c:v>26</c:v>
                </c:pt>
              </c:numCache>
            </c:numRef>
          </c:xVal>
          <c:yVal>
            <c:numRef>
              <c:f>POD!$B$13:$G$13</c:f>
              <c:numCache>
                <c:formatCode>General</c:formatCode>
                <c:ptCount val="6"/>
                <c:pt idx="0">
                  <c:v>30</c:v>
                </c:pt>
                <c:pt idx="1">
                  <c:v>29.259999999999998</c:v>
                </c:pt>
                <c:pt idx="2">
                  <c:v>31.86</c:v>
                </c:pt>
                <c:pt idx="3">
                  <c:v>34.459999999999994</c:v>
                </c:pt>
                <c:pt idx="4">
                  <c:v>37.260000000000005</c:v>
                </c:pt>
                <c:pt idx="5">
                  <c:v>40.260000000000005</c:v>
                </c:pt>
              </c:numCache>
            </c:numRef>
          </c:yVal>
          <c:smooth val="0"/>
        </c:ser>
        <c:dLbls>
          <c:showLegendKey val="0"/>
          <c:showVal val="0"/>
          <c:showCatName val="0"/>
          <c:showSerName val="0"/>
          <c:showPercent val="0"/>
          <c:showBubbleSize val="0"/>
        </c:dLbls>
        <c:axId val="310256192"/>
        <c:axId val="310256768"/>
      </c:scatterChart>
      <c:valAx>
        <c:axId val="310256192"/>
        <c:scaling>
          <c:orientation val="minMax"/>
        </c:scaling>
        <c:delete val="0"/>
        <c:axPos val="b"/>
        <c:numFmt formatCode="General" sourceLinked="1"/>
        <c:majorTickMark val="out"/>
        <c:minorTickMark val="none"/>
        <c:tickLblPos val="nextTo"/>
        <c:crossAx val="310256768"/>
        <c:crosses val="autoZero"/>
        <c:crossBetween val="midCat"/>
      </c:valAx>
      <c:valAx>
        <c:axId val="310256768"/>
        <c:scaling>
          <c:orientation val="minMax"/>
        </c:scaling>
        <c:delete val="0"/>
        <c:axPos val="l"/>
        <c:numFmt formatCode="General" sourceLinked="1"/>
        <c:majorTickMark val="out"/>
        <c:minorTickMark val="none"/>
        <c:tickLblPos val="nextTo"/>
        <c:crossAx val="310256192"/>
        <c:crosses val="autoZero"/>
        <c:crossBetween val="midCat"/>
      </c:valAx>
    </c:plotArea>
    <c:legend>
      <c:legendPos val="r"/>
      <c:overlay val="0"/>
    </c:legend>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65</TotalTime>
  <Pages>8</Pages>
  <Words>441</Words>
  <Characters>2515</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lenovo</cp:lastModifiedBy>
  <cp:revision>111</cp:revision>
  <dcterms:created xsi:type="dcterms:W3CDTF">2019-06-04T08:03:00Z</dcterms:created>
  <dcterms:modified xsi:type="dcterms:W3CDTF">2019-07-15T04:38:00Z</dcterms:modified>
</cp:coreProperties>
</file>