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4AEC98" w14:textId="315065A7" w:rsidR="006025A1" w:rsidRDefault="001E33DD" w:rsidP="001E33DD">
      <w:r>
        <w:rPr>
          <w:noProof/>
        </w:rPr>
        <w:drawing>
          <wp:inline distT="0" distB="0" distL="0" distR="0" wp14:anchorId="57551993" wp14:editId="406359B3">
            <wp:extent cx="5138442" cy="4124407"/>
            <wp:effectExtent l="0" t="0" r="508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44" t="18565" r="1938" b="12632"/>
                    <a:stretch/>
                  </pic:blipFill>
                  <pic:spPr bwMode="auto">
                    <a:xfrm>
                      <a:off x="0" y="0"/>
                      <a:ext cx="5153886" cy="4136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BDDF3FA" w14:textId="78168DA8" w:rsidR="00E87A7C" w:rsidRPr="00E87A7C" w:rsidRDefault="00FE578B" w:rsidP="003E0374">
      <w:pPr>
        <w:spacing w:line="260" w:lineRule="atLeast"/>
        <w:rPr>
          <w:color w:val="000000" w:themeColor="text1"/>
          <w:sz w:val="18"/>
          <w:szCs w:val="18"/>
        </w:rPr>
      </w:pPr>
      <w:r w:rsidRPr="00535627">
        <w:rPr>
          <w:rFonts w:ascii="Palatino Linotype" w:hAnsi="Palatino Linotype"/>
          <w:b/>
          <w:color w:val="000000" w:themeColor="text1"/>
          <w:sz w:val="18"/>
          <w:szCs w:val="18"/>
        </w:rPr>
        <w:t>Suppl. Fig</w:t>
      </w:r>
      <w:r w:rsidR="00E83432" w:rsidRPr="00535627">
        <w:rPr>
          <w:rFonts w:ascii="Palatino Linotype" w:hAnsi="Palatino Linotype"/>
          <w:b/>
          <w:color w:val="000000" w:themeColor="text1"/>
          <w:sz w:val="18"/>
          <w:szCs w:val="18"/>
        </w:rPr>
        <w:t>ure</w:t>
      </w:r>
      <w:r w:rsidRPr="00535627">
        <w:rPr>
          <w:rFonts w:ascii="Palatino Linotype" w:hAnsi="Palatino Linotype"/>
          <w:b/>
          <w:color w:val="000000" w:themeColor="text1"/>
          <w:sz w:val="18"/>
          <w:szCs w:val="18"/>
        </w:rPr>
        <w:t xml:space="preserve"> S2</w:t>
      </w:r>
      <w:r w:rsidR="00E83432" w:rsidRPr="00535627">
        <w:rPr>
          <w:rFonts w:ascii="Palatino Linotype" w:hAnsi="Palatino Linotype"/>
          <w:b/>
          <w:color w:val="000000" w:themeColor="text1"/>
          <w:sz w:val="18"/>
          <w:szCs w:val="18"/>
        </w:rPr>
        <w:t>.</w:t>
      </w:r>
      <w:r w:rsidRPr="00E87A7C">
        <w:rPr>
          <w:rFonts w:ascii="Palatino Linotype" w:hAnsi="Palatino Linotype"/>
          <w:color w:val="000000" w:themeColor="text1"/>
          <w:sz w:val="18"/>
          <w:szCs w:val="18"/>
        </w:rPr>
        <w:t xml:space="preserve"> </w:t>
      </w:r>
      <w:r w:rsidR="000679B3" w:rsidRPr="00E87A7C">
        <w:rPr>
          <w:rFonts w:ascii="Palatino Linotype" w:hAnsi="Palatino Linotype"/>
          <w:color w:val="000000" w:themeColor="text1"/>
          <w:sz w:val="18"/>
          <w:szCs w:val="18"/>
        </w:rPr>
        <w:t xml:space="preserve">Comparison of </w:t>
      </w:r>
      <w:r w:rsidR="001E33DD" w:rsidRPr="00E87A7C">
        <w:rPr>
          <w:rFonts w:ascii="Palatino Linotype" w:hAnsi="Palatino Linotype"/>
          <w:color w:val="000000" w:themeColor="text1"/>
          <w:sz w:val="18"/>
          <w:szCs w:val="18"/>
        </w:rPr>
        <w:t>physiological data</w:t>
      </w:r>
      <w:r w:rsidR="002902B2" w:rsidRPr="00E87A7C">
        <w:rPr>
          <w:rFonts w:ascii="Palatino Linotype" w:hAnsi="Palatino Linotype"/>
          <w:color w:val="000000" w:themeColor="text1"/>
          <w:sz w:val="18"/>
          <w:szCs w:val="18"/>
        </w:rPr>
        <w:t xml:space="preserve"> in leaves of </w:t>
      </w:r>
      <w:bookmarkStart w:id="0" w:name="_GoBack"/>
      <w:r w:rsidR="003377B4" w:rsidRPr="003377B4">
        <w:rPr>
          <w:rFonts w:ascii="Palatino Linotype" w:hAnsi="Palatino Linotype"/>
          <w:i/>
          <w:color w:val="000000" w:themeColor="text1"/>
          <w:sz w:val="18"/>
          <w:szCs w:val="18"/>
        </w:rPr>
        <w:t>Spinacia oleracea</w:t>
      </w:r>
      <w:bookmarkEnd w:id="0"/>
      <w:r w:rsidR="000679B3" w:rsidRPr="00E87A7C">
        <w:rPr>
          <w:rFonts w:ascii="Palatino Linotype" w:hAnsi="Palatino Linotype"/>
          <w:color w:val="000000" w:themeColor="text1"/>
          <w:sz w:val="18"/>
          <w:szCs w:val="18"/>
        </w:rPr>
        <w:t xml:space="preserve"> variety </w:t>
      </w:r>
      <w:r w:rsidR="002902B2" w:rsidRPr="00E87A7C">
        <w:rPr>
          <w:rFonts w:ascii="Palatino Linotype" w:hAnsi="Palatino Linotype"/>
          <w:color w:val="000000" w:themeColor="text1"/>
          <w:sz w:val="18"/>
          <w:szCs w:val="18"/>
        </w:rPr>
        <w:t xml:space="preserve">Sp75 and Sp73. </w:t>
      </w:r>
      <w:r w:rsidR="00F762FB" w:rsidRPr="00E87A7C">
        <w:rPr>
          <w:rFonts w:ascii="Palatino Linotype" w:hAnsi="Palatino Linotype"/>
          <w:color w:val="000000" w:themeColor="text1"/>
          <w:sz w:val="18"/>
          <w:szCs w:val="18"/>
        </w:rPr>
        <w:t>The columns represent different treatment conditions</w:t>
      </w:r>
      <w:r w:rsidR="000679B3" w:rsidRPr="00E87A7C">
        <w:rPr>
          <w:rFonts w:ascii="Palatino Linotype" w:hAnsi="Palatino Linotype"/>
          <w:color w:val="000000" w:themeColor="text1"/>
          <w:sz w:val="18"/>
          <w:szCs w:val="18"/>
        </w:rPr>
        <w:t xml:space="preserve"> (37 °C / 32°C day/night</w:t>
      </w:r>
      <w:r w:rsidR="00F762FB" w:rsidRPr="00E87A7C">
        <w:rPr>
          <w:rFonts w:ascii="Palatino Linotype" w:hAnsi="Palatino Linotype"/>
          <w:color w:val="000000" w:themeColor="text1"/>
          <w:sz w:val="18"/>
          <w:szCs w:val="18"/>
        </w:rPr>
        <w:t xml:space="preserve"> </w:t>
      </w:r>
      <w:r w:rsidR="000679B3" w:rsidRPr="00E87A7C">
        <w:rPr>
          <w:rFonts w:ascii="Palatino Linotype" w:hAnsi="Palatino Linotype"/>
          <w:color w:val="000000" w:themeColor="text1"/>
          <w:sz w:val="18"/>
          <w:szCs w:val="18"/>
        </w:rPr>
        <w:t xml:space="preserve">for </w:t>
      </w:r>
      <w:r w:rsidR="00F762FB" w:rsidRPr="00E87A7C">
        <w:rPr>
          <w:rFonts w:ascii="Palatino Linotype" w:hAnsi="Palatino Linotype"/>
          <w:color w:val="000000" w:themeColor="text1"/>
          <w:sz w:val="18"/>
          <w:szCs w:val="18"/>
        </w:rPr>
        <w:t>24 h</w:t>
      </w:r>
      <w:r w:rsidR="00733E21" w:rsidRPr="00E87A7C">
        <w:rPr>
          <w:rFonts w:ascii="Palatino Linotype" w:hAnsi="Palatino Linotype" w:hint="eastAsia"/>
          <w:color w:val="000000" w:themeColor="text1"/>
          <w:sz w:val="18"/>
          <w:szCs w:val="18"/>
        </w:rPr>
        <w:t>,</w:t>
      </w:r>
      <w:r w:rsidR="00733E21" w:rsidRPr="00E87A7C">
        <w:rPr>
          <w:rFonts w:ascii="Palatino Linotype" w:hAnsi="Palatino Linotype"/>
          <w:color w:val="000000" w:themeColor="text1"/>
          <w:sz w:val="18"/>
          <w:szCs w:val="18"/>
        </w:rPr>
        <w:t xml:space="preserve"> </w:t>
      </w:r>
      <w:r w:rsidR="00F762FB" w:rsidRPr="00E87A7C">
        <w:rPr>
          <w:rFonts w:ascii="Palatino Linotype" w:hAnsi="Palatino Linotype" w:hint="eastAsia"/>
          <w:color w:val="000000" w:themeColor="text1"/>
          <w:sz w:val="18"/>
          <w:szCs w:val="18"/>
        </w:rPr>
        <w:t>48</w:t>
      </w:r>
      <w:r w:rsidR="00F762FB" w:rsidRPr="00E87A7C">
        <w:rPr>
          <w:rFonts w:ascii="Palatino Linotype" w:hAnsi="Palatino Linotype"/>
          <w:color w:val="000000" w:themeColor="text1"/>
          <w:sz w:val="18"/>
          <w:szCs w:val="18"/>
        </w:rPr>
        <w:t xml:space="preserve"> </w:t>
      </w:r>
      <w:r w:rsidR="00F762FB" w:rsidRPr="00E87A7C">
        <w:rPr>
          <w:rFonts w:ascii="Palatino Linotype" w:hAnsi="Palatino Linotype" w:hint="eastAsia"/>
          <w:color w:val="000000" w:themeColor="text1"/>
          <w:sz w:val="18"/>
          <w:szCs w:val="18"/>
        </w:rPr>
        <w:t>h</w:t>
      </w:r>
      <w:r w:rsidR="00F762FB" w:rsidRPr="00E87A7C">
        <w:rPr>
          <w:rFonts w:ascii="Palatino Linotype" w:hAnsi="Palatino Linotype"/>
          <w:color w:val="000000" w:themeColor="text1"/>
          <w:sz w:val="18"/>
          <w:szCs w:val="18"/>
        </w:rPr>
        <w:t xml:space="preserve"> and 72 h</w:t>
      </w:r>
      <w:r w:rsidR="000679B3" w:rsidRPr="00E87A7C">
        <w:rPr>
          <w:rFonts w:ascii="Palatino Linotype" w:hAnsi="Palatino Linotype"/>
          <w:color w:val="000000" w:themeColor="text1"/>
          <w:sz w:val="18"/>
          <w:szCs w:val="18"/>
        </w:rPr>
        <w:t>)</w:t>
      </w:r>
      <w:r w:rsidR="00F762FB" w:rsidRPr="00E87A7C">
        <w:rPr>
          <w:rFonts w:ascii="Palatino Linotype" w:hAnsi="Palatino Linotype" w:hint="eastAsia"/>
          <w:color w:val="000000" w:themeColor="text1"/>
          <w:sz w:val="18"/>
          <w:szCs w:val="18"/>
        </w:rPr>
        <w:t>.</w:t>
      </w:r>
      <w:r w:rsidR="00F762FB" w:rsidRPr="00E87A7C">
        <w:rPr>
          <w:rFonts w:ascii="Palatino Linotype" w:hAnsi="Palatino Linotype"/>
          <w:color w:val="000000" w:themeColor="text1"/>
          <w:sz w:val="18"/>
          <w:szCs w:val="18"/>
        </w:rPr>
        <w:t xml:space="preserve"> </w:t>
      </w:r>
      <w:r w:rsidR="002902B2" w:rsidRPr="00E87A7C">
        <w:rPr>
          <w:rFonts w:ascii="Palatino Linotype" w:hAnsi="Palatino Linotype"/>
          <w:color w:val="000000" w:themeColor="text1"/>
          <w:sz w:val="18"/>
          <w:szCs w:val="18"/>
        </w:rPr>
        <w:t xml:space="preserve">The rows represent individual physiological data. The increased or decreased </w:t>
      </w:r>
      <w:r w:rsidR="001E33DD" w:rsidRPr="00E87A7C">
        <w:rPr>
          <w:rFonts w:ascii="Palatino Linotype" w:hAnsi="Palatino Linotype"/>
          <w:color w:val="000000" w:themeColor="text1"/>
          <w:sz w:val="18"/>
          <w:szCs w:val="18"/>
        </w:rPr>
        <w:t>data</w:t>
      </w:r>
      <w:r w:rsidR="002902B2" w:rsidRPr="00E87A7C">
        <w:rPr>
          <w:rFonts w:ascii="Palatino Linotype" w:hAnsi="Palatino Linotype"/>
          <w:color w:val="000000" w:themeColor="text1"/>
          <w:sz w:val="18"/>
          <w:szCs w:val="18"/>
        </w:rPr>
        <w:t xml:space="preserve"> were indicated in red or green, respectively. The color intensity increases with increasing</w:t>
      </w:r>
      <w:r w:rsidR="000679B3" w:rsidRPr="00E87A7C">
        <w:rPr>
          <w:rFonts w:ascii="Palatino Linotype" w:hAnsi="Palatino Linotype"/>
          <w:color w:val="000000" w:themeColor="text1"/>
          <w:sz w:val="18"/>
          <w:szCs w:val="18"/>
        </w:rPr>
        <w:t xml:space="preserve"> </w:t>
      </w:r>
      <w:r w:rsidR="002902B2" w:rsidRPr="00E87A7C">
        <w:rPr>
          <w:rFonts w:ascii="Palatino Linotype" w:hAnsi="Palatino Linotype"/>
          <w:color w:val="000000" w:themeColor="text1"/>
          <w:sz w:val="18"/>
          <w:szCs w:val="18"/>
        </w:rPr>
        <w:t xml:space="preserve">abundance, as shown in the scale bar. The scale bar indicates log (base2) transformed relative </w:t>
      </w:r>
      <w:r w:rsidR="001E33DD" w:rsidRPr="00E87A7C">
        <w:rPr>
          <w:rFonts w:ascii="Palatino Linotype" w:hAnsi="Palatino Linotype"/>
          <w:color w:val="000000" w:themeColor="text1"/>
          <w:sz w:val="18"/>
          <w:szCs w:val="18"/>
        </w:rPr>
        <w:t>physiological data</w:t>
      </w:r>
      <w:r w:rsidR="002902B2" w:rsidRPr="00E87A7C">
        <w:rPr>
          <w:rFonts w:ascii="Palatino Linotype" w:hAnsi="Palatino Linotype"/>
          <w:color w:val="000000" w:themeColor="text1"/>
          <w:sz w:val="18"/>
          <w:szCs w:val="18"/>
        </w:rPr>
        <w:t xml:space="preserve"> abundance ratios ranging from -1.25 to 1.25. </w:t>
      </w:r>
      <w:r w:rsidR="00F762FB" w:rsidRPr="00E87A7C">
        <w:rPr>
          <w:rFonts w:ascii="Palatino Linotype" w:hAnsi="Palatino Linotype"/>
          <w:color w:val="000000" w:themeColor="text1"/>
          <w:sz w:val="18"/>
          <w:szCs w:val="18"/>
        </w:rPr>
        <w:t xml:space="preserve">Abbreviations: </w:t>
      </w:r>
      <w:r w:rsidR="00E87A7C" w:rsidRPr="00E87A7C">
        <w:rPr>
          <w:rFonts w:ascii="Palatino Linotype" w:hAnsi="Palatino Linotype"/>
          <w:color w:val="000000" w:themeColor="text1"/>
          <w:sz w:val="18"/>
          <w:szCs w:val="18"/>
        </w:rPr>
        <w:t>APX ascorbate peroxidase; AsA, ascorbate; CAT, catalase; Ci, intercellular CO</w:t>
      </w:r>
      <w:r w:rsidR="00E87A7C" w:rsidRPr="00E87A7C">
        <w:rPr>
          <w:rFonts w:ascii="Palatino Linotype" w:hAnsi="Palatino Linotype"/>
          <w:color w:val="000000" w:themeColor="text1"/>
          <w:sz w:val="18"/>
          <w:szCs w:val="18"/>
          <w:vertAlign w:val="subscript"/>
        </w:rPr>
        <w:t>2</w:t>
      </w:r>
      <w:r w:rsidR="00E87A7C" w:rsidRPr="00E87A7C">
        <w:rPr>
          <w:rFonts w:ascii="Palatino Linotype" w:hAnsi="Palatino Linotype"/>
          <w:color w:val="000000" w:themeColor="text1"/>
          <w:sz w:val="18"/>
          <w:szCs w:val="18"/>
        </w:rPr>
        <w:t>; DHA, dehydroascorbate; DHAR, dehydroascorbate reductase; Fv/Fm, PSII maximum quantum yield; GPX, glutathione peroxidase; GR, glutathione reductase;</w:t>
      </w:r>
      <w:r w:rsidR="00E87A7C" w:rsidRPr="00E87A7C">
        <w:rPr>
          <w:color w:val="000000" w:themeColor="text1"/>
          <w:sz w:val="18"/>
          <w:szCs w:val="18"/>
        </w:rPr>
        <w:t xml:space="preserve"> </w:t>
      </w:r>
      <w:r w:rsidR="00E87A7C" w:rsidRPr="00E87A7C">
        <w:rPr>
          <w:rFonts w:ascii="Palatino Linotype" w:hAnsi="Palatino Linotype"/>
          <w:color w:val="000000" w:themeColor="text1"/>
          <w:sz w:val="18"/>
          <w:szCs w:val="18"/>
        </w:rPr>
        <w:t>Gs, stomata conductance; GSH, glutathione;</w:t>
      </w:r>
      <w:r w:rsidR="00E87A7C" w:rsidRPr="00E87A7C">
        <w:rPr>
          <w:color w:val="000000" w:themeColor="text1"/>
          <w:sz w:val="18"/>
          <w:szCs w:val="18"/>
        </w:rPr>
        <w:t xml:space="preserve"> </w:t>
      </w:r>
      <w:r w:rsidR="00E87A7C" w:rsidRPr="00E87A7C">
        <w:rPr>
          <w:rFonts w:ascii="Palatino Linotype" w:hAnsi="Palatino Linotype"/>
          <w:color w:val="000000" w:themeColor="text1"/>
          <w:sz w:val="18"/>
          <w:szCs w:val="18"/>
        </w:rPr>
        <w:t>GSSG, oxidized glutathione; GST, glutathione S-transferase; H</w:t>
      </w:r>
      <w:r w:rsidR="00E87A7C" w:rsidRPr="00E87A7C">
        <w:rPr>
          <w:rFonts w:ascii="Palatino Linotype" w:hAnsi="Palatino Linotype"/>
          <w:color w:val="000000" w:themeColor="text1"/>
          <w:sz w:val="18"/>
          <w:szCs w:val="18"/>
          <w:vertAlign w:val="subscript"/>
        </w:rPr>
        <w:t>2</w:t>
      </w:r>
      <w:r w:rsidR="00E87A7C" w:rsidRPr="00E87A7C">
        <w:rPr>
          <w:rFonts w:ascii="Palatino Linotype" w:hAnsi="Palatino Linotype"/>
          <w:color w:val="000000" w:themeColor="text1"/>
          <w:sz w:val="18"/>
          <w:szCs w:val="18"/>
        </w:rPr>
        <w:t>O</w:t>
      </w:r>
      <w:r w:rsidR="00E87A7C" w:rsidRPr="00E87A7C">
        <w:rPr>
          <w:rFonts w:ascii="Palatino Linotype" w:hAnsi="Palatino Linotype"/>
          <w:color w:val="000000" w:themeColor="text1"/>
          <w:sz w:val="18"/>
          <w:szCs w:val="18"/>
          <w:vertAlign w:val="subscript"/>
        </w:rPr>
        <w:t>2</w:t>
      </w:r>
      <w:r w:rsidR="00E87A7C" w:rsidRPr="00E87A7C">
        <w:rPr>
          <w:rFonts w:ascii="Palatino Linotype" w:hAnsi="Palatino Linotype"/>
          <w:color w:val="000000" w:themeColor="text1"/>
          <w:sz w:val="18"/>
          <w:szCs w:val="18"/>
        </w:rPr>
        <w:t>, hydrogen peroxide; MDHAR, monodehydroascorbate reductase; Pn, photosynthesis rate; POD, peroxidase;</w:t>
      </w:r>
      <w:r w:rsidR="00E87A7C" w:rsidRPr="00E87A7C">
        <w:rPr>
          <w:color w:val="000000" w:themeColor="text1"/>
          <w:sz w:val="18"/>
          <w:szCs w:val="18"/>
        </w:rPr>
        <w:t xml:space="preserve"> </w:t>
      </w:r>
      <w:r w:rsidR="00E87A7C" w:rsidRPr="00E87A7C">
        <w:rPr>
          <w:rFonts w:ascii="Palatino Linotype" w:hAnsi="Palatino Linotype"/>
          <w:color w:val="000000" w:themeColor="text1"/>
          <w:sz w:val="18"/>
          <w:szCs w:val="18"/>
        </w:rPr>
        <w:t>Pro, proline; REL, relative electrolyte leakage; SOD, superoxide dismutase; TBARS, thiobarbituric acid reactive substance;</w:t>
      </w:r>
      <w:r w:rsidR="00E87A7C" w:rsidRPr="00E87A7C">
        <w:rPr>
          <w:color w:val="000000" w:themeColor="text1"/>
          <w:sz w:val="18"/>
          <w:szCs w:val="18"/>
        </w:rPr>
        <w:t xml:space="preserve"> </w:t>
      </w:r>
      <w:r w:rsidR="00E87A7C" w:rsidRPr="00E87A7C">
        <w:rPr>
          <w:rFonts w:ascii="Palatino Linotype" w:hAnsi="Palatino Linotype"/>
          <w:color w:val="000000" w:themeColor="text1"/>
          <w:sz w:val="18"/>
          <w:szCs w:val="18"/>
        </w:rPr>
        <w:t>Tr, transpiration rate;</w:t>
      </w:r>
      <w:r w:rsidR="00E87A7C" w:rsidRPr="00E87A7C">
        <w:rPr>
          <w:color w:val="000000" w:themeColor="text1"/>
          <w:sz w:val="18"/>
          <w:szCs w:val="18"/>
        </w:rPr>
        <w:t xml:space="preserve"> </w:t>
      </w:r>
      <w:r w:rsidR="00E87A7C" w:rsidRPr="00E87A7C">
        <w:rPr>
          <w:rFonts w:ascii="Palatino Linotype" w:hAnsi="Palatino Linotype"/>
          <w:color w:val="000000" w:themeColor="text1"/>
          <w:sz w:val="18"/>
          <w:szCs w:val="18"/>
        </w:rPr>
        <w:t>Y(II), effective PSII quantum yield.</w:t>
      </w:r>
    </w:p>
    <w:sectPr w:rsidR="00E87A7C" w:rsidRPr="00E87A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1613DB" w14:textId="77777777" w:rsidR="00DC695F" w:rsidRDefault="00DC695F" w:rsidP="00FE578B">
      <w:r>
        <w:separator/>
      </w:r>
    </w:p>
  </w:endnote>
  <w:endnote w:type="continuationSeparator" w:id="0">
    <w:p w14:paraId="68566C57" w14:textId="77777777" w:rsidR="00DC695F" w:rsidRDefault="00DC695F" w:rsidP="00FE5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A9E751" w14:textId="77777777" w:rsidR="00DC695F" w:rsidRDefault="00DC695F" w:rsidP="00FE578B">
      <w:r>
        <w:separator/>
      </w:r>
    </w:p>
  </w:footnote>
  <w:footnote w:type="continuationSeparator" w:id="0">
    <w:p w14:paraId="37F2A9AC" w14:textId="77777777" w:rsidR="00DC695F" w:rsidRDefault="00DC695F" w:rsidP="00FE57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7C2"/>
    <w:rsid w:val="00017454"/>
    <w:rsid w:val="000679B3"/>
    <w:rsid w:val="000D77C2"/>
    <w:rsid w:val="00116254"/>
    <w:rsid w:val="001B65D2"/>
    <w:rsid w:val="001E33DD"/>
    <w:rsid w:val="001F4B96"/>
    <w:rsid w:val="00202F96"/>
    <w:rsid w:val="002902B2"/>
    <w:rsid w:val="003377B4"/>
    <w:rsid w:val="003E0374"/>
    <w:rsid w:val="004C12CA"/>
    <w:rsid w:val="00535627"/>
    <w:rsid w:val="00562215"/>
    <w:rsid w:val="006025A1"/>
    <w:rsid w:val="00627687"/>
    <w:rsid w:val="00653792"/>
    <w:rsid w:val="00660A0D"/>
    <w:rsid w:val="00733E21"/>
    <w:rsid w:val="007D3556"/>
    <w:rsid w:val="009C0576"/>
    <w:rsid w:val="00A74C4B"/>
    <w:rsid w:val="00B15AED"/>
    <w:rsid w:val="00DC695F"/>
    <w:rsid w:val="00E83432"/>
    <w:rsid w:val="00E87A7C"/>
    <w:rsid w:val="00F762FB"/>
    <w:rsid w:val="00FE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ECBA9F"/>
  <w15:chartTrackingRefBased/>
  <w15:docId w15:val="{B18E7F3C-B791-433F-86BF-4CC23534D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57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E57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E57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E578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珊珊 李</dc:creator>
  <cp:keywords/>
  <dc:description/>
  <cp:lastModifiedBy>Dai SJ</cp:lastModifiedBy>
  <cp:revision>15</cp:revision>
  <dcterms:created xsi:type="dcterms:W3CDTF">2019-07-24T12:40:00Z</dcterms:created>
  <dcterms:modified xsi:type="dcterms:W3CDTF">2019-07-28T03:59:00Z</dcterms:modified>
</cp:coreProperties>
</file>