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6F85" w:rsidRDefault="00C06F85" w:rsidP="00C06F85">
      <w:pPr>
        <w:pStyle w:val="MDPI12title"/>
      </w:pPr>
      <w:bookmarkStart w:id="0" w:name="_Hlk13744922"/>
      <w:r>
        <w:t xml:space="preserve">Supplementary </w:t>
      </w:r>
      <w:r w:rsidR="00A530AC">
        <w:t>material</w:t>
      </w:r>
    </w:p>
    <w:p w:rsidR="001F31D8" w:rsidRPr="001F31D8" w:rsidRDefault="001F31D8" w:rsidP="001F31D8">
      <w:pPr>
        <w:pStyle w:val="MDPI13authornames"/>
      </w:pPr>
    </w:p>
    <w:bookmarkEnd w:id="0"/>
    <w:p w:rsidR="001C3B6A" w:rsidRDefault="001C3B6A">
      <w:pPr>
        <w:rPr>
          <w:lang w:val="en-GB"/>
        </w:rPr>
      </w:pPr>
    </w:p>
    <w:p w:rsidR="006A7F2A" w:rsidRPr="006A7F2A" w:rsidRDefault="006A7F2A" w:rsidP="006A7F2A">
      <w:pPr>
        <w:adjustRightInd w:val="0"/>
        <w:snapToGrid w:val="0"/>
        <w:spacing w:after="240" w:line="400" w:lineRule="exact"/>
        <w:rPr>
          <w:rFonts w:ascii="Palatino Linotype" w:eastAsia="Times New Roman" w:hAnsi="Palatino Linotype" w:cs="Times New Roman"/>
          <w:b/>
          <w:snapToGrid w:val="0"/>
          <w:color w:val="000000"/>
          <w:sz w:val="20"/>
          <w:szCs w:val="20"/>
          <w:lang w:val="en-US" w:eastAsia="de-DE" w:bidi="en-US"/>
        </w:rPr>
      </w:pPr>
      <w:r w:rsidRPr="006A7F2A">
        <w:rPr>
          <w:rFonts w:ascii="Palatino Linotype" w:eastAsia="Times New Roman" w:hAnsi="Palatino Linotype" w:cs="Times New Roman"/>
          <w:b/>
          <w:snapToGrid w:val="0"/>
          <w:color w:val="000000"/>
          <w:sz w:val="36"/>
          <w:szCs w:val="20"/>
          <w:lang w:val="en-US" w:eastAsia="de-DE" w:bidi="en-US"/>
        </w:rPr>
        <w:t xml:space="preserve">Biophysical Insight on the Membrane Insertion of an </w:t>
      </w:r>
      <w:r w:rsidRPr="006A7F2A">
        <w:rPr>
          <w:rFonts w:ascii="Palatino Linotype" w:eastAsia="Times New Roman" w:hAnsi="Palatino Linotype" w:cs="Times New Roman"/>
          <w:b/>
          <w:snapToGrid w:val="0"/>
          <w:color w:val="000000"/>
          <w:sz w:val="36"/>
          <w:szCs w:val="36"/>
          <w:lang w:val="en-US" w:eastAsia="de-DE" w:bidi="en-US"/>
        </w:rPr>
        <w:t>Arginine-Rich Cell-Penetrating Peptide</w:t>
      </w:r>
    </w:p>
    <w:p w:rsidR="006A7F2A" w:rsidRPr="006A7F2A" w:rsidRDefault="006A7F2A" w:rsidP="006A7F2A">
      <w:pPr>
        <w:adjustRightInd w:val="0"/>
        <w:snapToGrid w:val="0"/>
        <w:spacing w:after="12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</w:pPr>
      <w:bookmarkStart w:id="1" w:name="_Hlk13744994"/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Marie-Lise Jobin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1,2</w:t>
      </w:r>
      <w:r w:rsidRPr="006A7F2A">
        <w:rPr>
          <w:rFonts w:ascii="Palatino Linotype" w:eastAsiaTheme="minorEastAsia" w:hAnsi="Palatino Linotype" w:cs="Times New Roman"/>
          <w:b/>
          <w:color w:val="000000"/>
          <w:sz w:val="20"/>
          <w:vertAlign w:val="superscript"/>
          <w:lang w:val="en-US" w:eastAsia="zh-CN" w:bidi="en-US"/>
        </w:rPr>
        <w:t>,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*, LydieVamparys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3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Romain Deniau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3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Axelle Grélard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,</w:t>
      </w:r>
    </w:p>
    <w:p w:rsidR="006A7F2A" w:rsidRPr="006A7F2A" w:rsidRDefault="006A7F2A" w:rsidP="006A7F2A">
      <w:pPr>
        <w:adjustRightInd w:val="0"/>
        <w:snapToGrid w:val="0"/>
        <w:spacing w:after="12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</w:pP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Cameron D. Mackereth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4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, Patrick F.J. Fuchs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5,6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 xml:space="preserve"> and Isabel D. Alves 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n-US" w:eastAsia="de-DE" w:bidi="en-US"/>
        </w:rPr>
        <w:t>1,</w:t>
      </w:r>
      <w:r w:rsidRPr="006A7F2A">
        <w:rPr>
          <w:rFonts w:ascii="Palatino Linotype" w:eastAsia="Times New Roman" w:hAnsi="Palatino Linotype" w:cs="Times New Roman"/>
          <w:b/>
          <w:color w:val="000000"/>
          <w:sz w:val="20"/>
          <w:lang w:val="en-US" w:eastAsia="de-DE" w:bidi="en-US"/>
        </w:rPr>
        <w:t>*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GB" w:eastAsia="de-DE" w:bidi="en-US"/>
        </w:rPr>
        <w:t>1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  <w:tab/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>Institute of Chemistry &amp; Biology of Membranes &amp; Nanoobjects</w:t>
      </w:r>
      <w:r w:rsidRPr="006A7F2A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  <w:lang w:val="en-US" w:eastAsia="de-DE" w:bidi="en-US"/>
        </w:rPr>
        <w:t xml:space="preserve"> (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  <w:t>CBMN), CNRS UMR5248, University of Bordeaux, Bordeaux INP, allée Geoffroy St-Hilaire, 33600 Pessac, France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GB" w:eastAsia="de-DE" w:bidi="en-US"/>
        </w:rPr>
        <w:t>2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  <w:tab/>
        <w:t>Present address: Interdisciplinary Institute for Neuroscience (IINS), CNRS UMR5297, University of Bordeaux, 33000 Bordeaux, France.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GB" w:eastAsia="de-DE" w:bidi="en-US"/>
        </w:rPr>
        <w:t>3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  <w:tab/>
        <w:t>University of Paris, Institut Jacques Monod, CNRS, 75013 Paris, France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GB" w:eastAsia="de-DE" w:bidi="en-US"/>
        </w:rPr>
        <w:t>4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val="en-GB" w:eastAsia="de-DE" w:bidi="en-US"/>
        </w:rPr>
        <w:tab/>
        <w:t>INSERM U1212, CNRS UMR5320, ARNA Laboratory, University of Bordeaux, IECB, 2 rue Robert Escarpit, 33600 Pessac, France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eastAsia="de-DE" w:bidi="en-US"/>
        </w:rPr>
        <w:t>5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eastAsia="de-DE" w:bidi="en-US"/>
        </w:rPr>
        <w:tab/>
        <w:t>Sorbonne University, École normale supérieure, PSL University, CNRS, Laboratoire des biomolécules (LBM), 75005 Paris, France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eastAsia="de-DE" w:bidi="en-US"/>
        </w:rPr>
      </w:pP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eastAsia="de-DE" w:bidi="en-US"/>
        </w:rPr>
        <w:t>6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18"/>
          <w:lang w:eastAsia="de-DE" w:bidi="en-US"/>
        </w:rPr>
        <w:tab/>
        <w:t>University of Paris, UFR Sciences du Vivant, 75013 Paris, France</w:t>
      </w:r>
    </w:p>
    <w:p w:rsidR="006A7F2A" w:rsidRPr="006A7F2A" w:rsidRDefault="006A7F2A" w:rsidP="006A7F2A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</w:pPr>
      <w:r w:rsidRPr="006A7F2A">
        <w:rPr>
          <w:rFonts w:ascii="Palatino Linotype" w:eastAsia="Times New Roman" w:hAnsi="Palatino Linotype" w:cs="Times New Roman"/>
          <w:b/>
          <w:color w:val="000000"/>
          <w:sz w:val="18"/>
          <w:szCs w:val="20"/>
          <w:lang w:val="en-GB" w:eastAsia="de-DE" w:bidi="en-US"/>
        </w:rPr>
        <w:t>*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20"/>
          <w:lang w:val="en-GB" w:eastAsia="de-DE" w:bidi="en-US"/>
        </w:rPr>
        <w:tab/>
        <w:t xml:space="preserve">Correspondence: </w:t>
      </w:r>
      <w:hyperlink r:id="rId4" w:history="1">
        <w:r w:rsidRPr="006A7F2A">
          <w:rPr>
            <w:rFonts w:ascii="Palatino Linotype" w:eastAsia="Times New Roman" w:hAnsi="Palatino Linotype" w:cs="Times New Roman"/>
            <w:sz w:val="18"/>
            <w:szCs w:val="20"/>
            <w:u w:val="single"/>
            <w:lang w:val="en-GB" w:eastAsia="de-DE" w:bidi="en-US"/>
          </w:rPr>
          <w:t>marie-lise.jobin@u-bordeaux.fr</w:t>
        </w:r>
      </w:hyperlink>
      <w:r w:rsidRPr="006A7F2A">
        <w:rPr>
          <w:rFonts w:ascii="Palatino Linotype" w:eastAsia="Times New Roman" w:hAnsi="Palatino Linotype" w:cs="Times New Roman"/>
          <w:sz w:val="18"/>
          <w:szCs w:val="20"/>
          <w:u w:val="single"/>
          <w:lang w:val="en-GB" w:eastAsia="de-DE" w:bidi="en-US"/>
        </w:rPr>
        <w:t xml:space="preserve"> 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20"/>
          <w:lang w:val="en-GB" w:eastAsia="de-DE" w:bidi="en-US"/>
        </w:rPr>
        <w:t>(M.-L. J</w:t>
      </w:r>
      <w:r w:rsidRPr="006A7F2A"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  <w:t>.)</w:t>
      </w:r>
      <w:r w:rsidRPr="006A7F2A">
        <w:rPr>
          <w:rFonts w:ascii="Palatino Linotype" w:eastAsiaTheme="minorEastAsia" w:hAnsi="Palatino Linotype" w:cs="Times New Roman"/>
          <w:sz w:val="18"/>
          <w:szCs w:val="20"/>
          <w:lang w:val="en-GB" w:eastAsia="zh-CN" w:bidi="en-US"/>
        </w:rPr>
        <w:t xml:space="preserve">; </w:t>
      </w:r>
      <w:hyperlink r:id="rId5" w:history="1">
        <w:r w:rsidRPr="006A7F2A">
          <w:rPr>
            <w:rFonts w:ascii="Palatino Linotype" w:eastAsia="Times New Roman" w:hAnsi="Palatino Linotype" w:cs="Times New Roman"/>
            <w:sz w:val="18"/>
            <w:szCs w:val="20"/>
            <w:u w:val="single"/>
            <w:lang w:val="en-GB" w:eastAsia="de-DE" w:bidi="en-US"/>
          </w:rPr>
          <w:t>i.alves@cbmn.u-bordeaux.fr</w:t>
        </w:r>
      </w:hyperlink>
      <w:r w:rsidRPr="006A7F2A"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  <w:t xml:space="preserve"> (I.D.A.); </w:t>
      </w:r>
      <w:r w:rsidRPr="006A7F2A">
        <w:rPr>
          <w:rFonts w:ascii="Palatino Linotype" w:eastAsia="Times New Roman" w:hAnsi="Palatino Linotype" w:cs="Times New Roman"/>
          <w:color w:val="000000"/>
          <w:sz w:val="18"/>
          <w:szCs w:val="20"/>
          <w:lang w:val="en-GB" w:eastAsia="de-DE" w:bidi="en-US"/>
        </w:rPr>
        <w:t>Tel.: +33-5-3351-4735 (M.-L. J</w:t>
      </w:r>
      <w:r w:rsidRPr="006A7F2A"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  <w:t>.); Tel.: + 33-5-4000-6849</w:t>
      </w:r>
      <w:r w:rsidRPr="006A7F2A" w:rsidDel="00F71F22"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  <w:t xml:space="preserve"> </w:t>
      </w:r>
      <w:r w:rsidRPr="006A7F2A">
        <w:rPr>
          <w:rFonts w:ascii="Palatino Linotype" w:eastAsia="Times New Roman" w:hAnsi="Palatino Linotype" w:cs="Times New Roman"/>
          <w:sz w:val="18"/>
          <w:szCs w:val="20"/>
          <w:lang w:val="en-GB" w:eastAsia="de-DE" w:bidi="en-US"/>
        </w:rPr>
        <w:t>(I.D.A.)</w:t>
      </w:r>
      <w:bookmarkStart w:id="2" w:name="_GoBack"/>
      <w:bookmarkEnd w:id="2"/>
    </w:p>
    <w:bookmarkEnd w:id="1"/>
    <w:p w:rsidR="00C06F85" w:rsidRDefault="00C06F85">
      <w:pPr>
        <w:rPr>
          <w:lang w:val="en-GB"/>
        </w:rPr>
      </w:pPr>
    </w:p>
    <w:p w:rsidR="00C06F85" w:rsidRDefault="00C06F85" w:rsidP="00C06F85">
      <w:pPr>
        <w:jc w:val="center"/>
        <w:rPr>
          <w:lang w:val="en-GB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4783080" cy="564405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-0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875" cy="5646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F85" w:rsidRDefault="00C06F85" w:rsidP="00C06F85">
      <w:pPr>
        <w:pStyle w:val="MDPI51figurecaption"/>
        <w:jc w:val="center"/>
      </w:pPr>
      <w:r w:rsidRPr="00E25886">
        <w:rPr>
          <w:b/>
        </w:rPr>
        <w:t>Figure S1.</w:t>
      </w:r>
      <w:r>
        <w:t xml:space="preserve"> </w:t>
      </w:r>
      <w:r w:rsidRPr="00E25886">
        <w:rPr>
          <w:b/>
        </w:rPr>
        <w:t>Secondary structure of RW16 in the three MD trajectories</w:t>
      </w:r>
      <w:r>
        <w:t xml:space="preserve"> (top: trajectory 1; middle: trajectory 2; bottom: trajectory 3).</w:t>
      </w:r>
    </w:p>
    <w:p w:rsidR="00C06F85" w:rsidRDefault="00C06F85">
      <w:pPr>
        <w:rPr>
          <w:lang w:val="en-GB"/>
        </w:rPr>
      </w:pPr>
    </w:p>
    <w:p w:rsidR="00C06F85" w:rsidRDefault="00C06F85">
      <w:pPr>
        <w:rPr>
          <w:lang w:val="en-GB"/>
        </w:rPr>
      </w:pPr>
    </w:p>
    <w:p w:rsidR="00C06F85" w:rsidRDefault="00C06F85">
      <w:pPr>
        <w:rPr>
          <w:lang w:val="en-GB"/>
        </w:rPr>
      </w:pPr>
    </w:p>
    <w:p w:rsidR="00C06F85" w:rsidRDefault="00C06F85">
      <w:pPr>
        <w:rPr>
          <w:lang w:val="en-GB"/>
        </w:rPr>
      </w:pPr>
    </w:p>
    <w:p w:rsidR="00C06F85" w:rsidRDefault="00C06F85" w:rsidP="00DB7922">
      <w:pPr>
        <w:jc w:val="center"/>
        <w:rPr>
          <w:lang w:val="en-GB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5108028" cy="2920562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2-0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2228" cy="2922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F85" w:rsidRDefault="00C06F85" w:rsidP="00C06F85">
      <w:pPr>
        <w:pStyle w:val="MDPI51figurecaption"/>
      </w:pPr>
      <w:r w:rsidRPr="00DD7538">
        <w:rPr>
          <w:b/>
        </w:rPr>
        <w:t>Figure S</w:t>
      </w:r>
      <w:r>
        <w:rPr>
          <w:b/>
        </w:rPr>
        <w:t>2</w:t>
      </w:r>
      <w:r w:rsidRPr="00DD7538">
        <w:rPr>
          <w:b/>
        </w:rPr>
        <w:t>.</w:t>
      </w:r>
      <w:r>
        <w:t xml:space="preserve"> </w:t>
      </w:r>
      <w:r w:rsidRPr="00DD7538">
        <w:rPr>
          <w:b/>
          <w:bCs/>
          <w:lang w:val="en-GB"/>
        </w:rPr>
        <w:t>Exposure of the peptide side</w:t>
      </w:r>
      <w:r>
        <w:rPr>
          <w:b/>
          <w:bCs/>
          <w:lang w:val="en-GB"/>
        </w:rPr>
        <w:t xml:space="preserve"> </w:t>
      </w:r>
      <w:r w:rsidRPr="00DD7538">
        <w:rPr>
          <w:b/>
          <w:bCs/>
          <w:lang w:val="en-GB"/>
        </w:rPr>
        <w:t xml:space="preserve">chains </w:t>
      </w:r>
      <w:r>
        <w:rPr>
          <w:b/>
          <w:bCs/>
          <w:lang w:val="en-GB"/>
        </w:rPr>
        <w:t xml:space="preserve">determined </w:t>
      </w:r>
      <w:r w:rsidRPr="00DD7538">
        <w:rPr>
          <w:b/>
          <w:bCs/>
          <w:lang w:val="en-GB"/>
        </w:rPr>
        <w:t>by MD</w:t>
      </w:r>
      <w:r>
        <w:rPr>
          <w:b/>
          <w:bCs/>
          <w:lang w:val="en-GB"/>
        </w:rPr>
        <w:t xml:space="preserve"> simulations</w:t>
      </w:r>
      <w:r w:rsidRPr="00DD7538">
        <w:rPr>
          <w:b/>
          <w:bCs/>
          <w:lang w:val="en-GB"/>
        </w:rPr>
        <w:t xml:space="preserve">. </w:t>
      </w:r>
      <w:r w:rsidRPr="00DD7538">
        <w:rPr>
          <w:lang w:val="en-GB"/>
        </w:rPr>
        <w:t xml:space="preserve">Box plot </w:t>
      </w:r>
      <w:r>
        <w:rPr>
          <w:lang w:val="en-GB"/>
        </w:rPr>
        <w:t xml:space="preserve">of </w:t>
      </w:r>
      <w:r w:rsidRPr="00DD7538">
        <w:rPr>
          <w:lang w:val="en-GB"/>
        </w:rPr>
        <w:t>the vertical (</w:t>
      </w:r>
      <w:r w:rsidRPr="00417F1A">
        <w:rPr>
          <w:i/>
          <w:lang w:val="en-GB"/>
        </w:rPr>
        <w:t>z</w:t>
      </w:r>
      <w:r w:rsidRPr="00DD7538">
        <w:rPr>
          <w:lang w:val="en-GB"/>
        </w:rPr>
        <w:t>) position of the COM of the peptide side chains in comparison to the phosphorus of the lipid phosphate (P), the nitrogen of the cholin</w:t>
      </w:r>
      <w:r>
        <w:rPr>
          <w:lang w:val="en-GB"/>
        </w:rPr>
        <w:t>e</w:t>
      </w:r>
      <w:r w:rsidRPr="00DD7538">
        <w:rPr>
          <w:lang w:val="en-GB"/>
        </w:rPr>
        <w:t xml:space="preserve"> (N) and the central glycerol atom (C23)</w:t>
      </w:r>
      <w:r>
        <w:rPr>
          <w:lang w:val="en-GB"/>
        </w:rPr>
        <w:t xml:space="preserve">. </w:t>
      </w:r>
      <w:r w:rsidRPr="00417F1A">
        <w:rPr>
          <w:lang w:val="en-GB"/>
        </w:rPr>
        <w:t xml:space="preserve">Horizontal thick solid lines represent the average </w:t>
      </w:r>
      <w:r w:rsidRPr="00417F1A">
        <w:rPr>
          <w:i/>
          <w:lang w:val="en-GB"/>
        </w:rPr>
        <w:t>z</w:t>
      </w:r>
      <w:r w:rsidRPr="00417F1A">
        <w:rPr>
          <w:lang w:val="en-GB"/>
        </w:rPr>
        <w:t xml:space="preserve"> position of P (magenta), N (cyan) and C23 (gr</w:t>
      </w:r>
      <w:r>
        <w:rPr>
          <w:lang w:val="en-GB"/>
        </w:rPr>
        <w:t>e</w:t>
      </w:r>
      <w:r w:rsidRPr="00417F1A">
        <w:rPr>
          <w:lang w:val="en-GB"/>
        </w:rPr>
        <w:t>y) atoms over the 3 trajectories. For each lipid atom / COM side</w:t>
      </w:r>
      <w:r>
        <w:rPr>
          <w:lang w:val="en-GB"/>
        </w:rPr>
        <w:t xml:space="preserve"> </w:t>
      </w:r>
      <w:r w:rsidRPr="00417F1A">
        <w:rPr>
          <w:lang w:val="en-GB"/>
        </w:rPr>
        <w:t xml:space="preserve">chain, the 3 trajectories are shown (thin solid vertical line correspond to the first trajectory). </w:t>
      </w:r>
      <w:r>
        <w:rPr>
          <w:lang w:val="en-GB"/>
        </w:rPr>
        <w:t>Arg side chains are in blue, Trp side chains in orange</w:t>
      </w:r>
      <w:r w:rsidRPr="00DD7538">
        <w:rPr>
          <w:lang w:val="en-GB"/>
        </w:rPr>
        <w:t xml:space="preserve">. </w:t>
      </w:r>
      <w:r>
        <w:rPr>
          <w:lang w:val="en-GB"/>
        </w:rPr>
        <w:t>Large boxes (e.g. side chain of Arg15 of simulation 2) indicate that the side chain underwent an important change of partitioning within the bilayer in the corresponding simulation.</w:t>
      </w:r>
      <w:r w:rsidRPr="00DD7538">
        <w:rPr>
          <w:bCs/>
          <w:lang w:val="en-GB"/>
        </w:rPr>
        <w:t xml:space="preserve"> </w:t>
      </w:r>
    </w:p>
    <w:p w:rsidR="00C06F85" w:rsidRPr="00C06F85" w:rsidRDefault="00C06F85">
      <w:pPr>
        <w:rPr>
          <w:lang w:val="en-US"/>
        </w:rPr>
      </w:pPr>
    </w:p>
    <w:p w:rsidR="00C06F85" w:rsidRDefault="00C06F85" w:rsidP="00C06F85">
      <w:pPr>
        <w:jc w:val="center"/>
        <w:rPr>
          <w:lang w:val="en-GB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2923032" cy="5367528"/>
            <wp:effectExtent l="0" t="0" r="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S3-0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3032" cy="536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F85" w:rsidRPr="00A249C5" w:rsidRDefault="00BE3C93" w:rsidP="00BE3C93">
      <w:pPr>
        <w:pStyle w:val="MDPI51figurecaption"/>
        <w:rPr>
          <w:b/>
        </w:rPr>
      </w:pPr>
      <w:r w:rsidRPr="00BE3C93">
        <w:rPr>
          <w:b/>
        </w:rPr>
        <w:t xml:space="preserve">Figure </w:t>
      </w:r>
      <w:r w:rsidR="00076D70">
        <w:rPr>
          <w:b/>
        </w:rPr>
        <w:t>S</w:t>
      </w:r>
      <w:r w:rsidRPr="00BE3C93">
        <w:rPr>
          <w:b/>
        </w:rPr>
        <w:t>3.</w:t>
      </w:r>
      <w:r w:rsidR="00C06F85" w:rsidRPr="00BE3C93">
        <w:rPr>
          <w:b/>
        </w:rPr>
        <w:t xml:space="preserve"> </w:t>
      </w:r>
      <w:r w:rsidR="00C06F85" w:rsidRPr="008A3B76">
        <w:rPr>
          <w:b/>
        </w:rPr>
        <w:t xml:space="preserve">Number of hydrogen bonds of Arg side chains of RW16 with lipids and water. (a, b) </w:t>
      </w:r>
      <w:r w:rsidR="00C06F85" w:rsidRPr="008A3B76">
        <w:t>Number of hydrogen bonds of Arg side chains with the carboxyl/phosphate groups of DOPC lipids (</w:t>
      </w:r>
      <w:r w:rsidR="00C06F85" w:rsidRPr="008A3B76">
        <w:rPr>
          <w:b/>
        </w:rPr>
        <w:t>a</w:t>
      </w:r>
      <w:r w:rsidR="00C06F85" w:rsidRPr="008A3B76">
        <w:t xml:space="preserve">) </w:t>
      </w:r>
      <w:r w:rsidR="00C06F85">
        <w:t>or</w:t>
      </w:r>
      <w:r w:rsidR="00C06F85" w:rsidRPr="008A3B76">
        <w:t xml:space="preserve"> molecules of water (</w:t>
      </w:r>
      <w:r w:rsidR="00C06F85" w:rsidRPr="008A3B76">
        <w:rPr>
          <w:b/>
        </w:rPr>
        <w:t>b</w:t>
      </w:r>
      <w:r w:rsidR="00C06F85" w:rsidRPr="008A3B76">
        <w:t>) determined over 1000 ns from three MD simulations.</w:t>
      </w:r>
    </w:p>
    <w:p w:rsidR="00C06F85" w:rsidRPr="00C06F85" w:rsidRDefault="00C06F85" w:rsidP="00C06F85">
      <w:pPr>
        <w:jc w:val="center"/>
        <w:rPr>
          <w:lang w:val="en-US"/>
        </w:rPr>
      </w:pPr>
    </w:p>
    <w:p w:rsidR="00C06F85" w:rsidRDefault="00C06F85" w:rsidP="00C06F85">
      <w:pPr>
        <w:jc w:val="center"/>
        <w:rPr>
          <w:lang w:val="en-GB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5760720" cy="608139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S4-01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8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F85" w:rsidRPr="009E6923" w:rsidRDefault="00C06F85" w:rsidP="00C06F85">
      <w:pPr>
        <w:pStyle w:val="MDPI51figurecaption"/>
        <w:rPr>
          <w:bCs/>
        </w:rPr>
      </w:pPr>
      <w:r w:rsidRPr="00624056">
        <w:rPr>
          <w:b/>
        </w:rPr>
        <w:t>Figure S4. Determination of peptide tilt by NMR spectroscopy.</w:t>
      </w:r>
      <w:r>
        <w:rPr>
          <w:b/>
        </w:rPr>
        <w:t xml:space="preserve"> (a) </w:t>
      </w:r>
      <w:r w:rsidRPr="004E6C96">
        <w:rPr>
          <w:bCs/>
        </w:rPr>
        <w:t xml:space="preserve">Addition of the paramagnetic compound </w:t>
      </w:r>
      <w:r w:rsidRPr="00105852">
        <w:t>Gd(DTPA-BMA)</w:t>
      </w:r>
      <w:r>
        <w:t xml:space="preserve"> to the sample of RW16 in DPC-d38 micelles, at concentrations of 1, 2, 3, 5, 7.5 and 10 mM, on the Trp </w:t>
      </w:r>
      <w:r w:rsidRPr="004E6C96">
        <w:rPr>
          <w:vertAlign w:val="superscript"/>
        </w:rPr>
        <w:t>1</w:t>
      </w:r>
      <w:r>
        <w:t>H</w:t>
      </w:r>
      <w:r>
        <w:rPr>
          <w:rFonts w:ascii="Symbol" w:hAnsi="Symbol"/>
          <w:vertAlign w:val="superscript"/>
        </w:rPr>
        <w:t></w:t>
      </w:r>
      <w:r w:rsidRPr="004E6C96">
        <w:rPr>
          <w:vertAlign w:val="superscript"/>
        </w:rPr>
        <w:t>1</w:t>
      </w:r>
      <w:r>
        <w:t xml:space="preserve"> nuclei. The paramagnetic relaxation enhancement uses the height of the crosspeak as a proxy for T2 relaxation. (</w:t>
      </w:r>
      <w:r w:rsidRPr="004E6C96">
        <w:rPr>
          <w:b/>
          <w:bCs/>
        </w:rPr>
        <w:t>b</w:t>
      </w:r>
      <w:r>
        <w:t xml:space="preserve">) A ratio of the crosspeak intensity at 10 mM versus 1 mM </w:t>
      </w:r>
      <w:r w:rsidRPr="00105852">
        <w:t>Gd(DTPA-BMA)</w:t>
      </w:r>
      <w:r>
        <w:t xml:space="preserve"> provides a simple probe for solvent accessibility for several atoms in RW16. Nuclei that are closer to the solvent are more affected by </w:t>
      </w:r>
      <w:r w:rsidRPr="00105852">
        <w:t>Gd(DTPA-BMA)</w:t>
      </w:r>
      <w:r>
        <w:t xml:space="preserve"> and thus have lower ratio values in this analysis.</w:t>
      </w:r>
    </w:p>
    <w:p w:rsidR="00C06F85" w:rsidRDefault="00C06F85">
      <w:pPr>
        <w:rPr>
          <w:lang w:val="en-US"/>
        </w:rPr>
      </w:pPr>
    </w:p>
    <w:p w:rsidR="0080767C" w:rsidRDefault="0080767C" w:rsidP="007A003E">
      <w:pPr>
        <w:jc w:val="both"/>
        <w:rPr>
          <w:lang w:val="en-US"/>
        </w:rPr>
      </w:pPr>
    </w:p>
    <w:p w:rsidR="0080767C" w:rsidRPr="007A003E" w:rsidRDefault="0080767C" w:rsidP="007A003E">
      <w:pPr>
        <w:jc w:val="both"/>
        <w:rPr>
          <w:rFonts w:ascii="Palatino Linotype" w:hAnsi="Palatino Linotype"/>
          <w:sz w:val="18"/>
          <w:lang w:val="en-GB"/>
        </w:rPr>
      </w:pPr>
      <w:r w:rsidRPr="007A003E">
        <w:rPr>
          <w:rFonts w:ascii="Palatino Linotype" w:hAnsi="Palatino Linotype"/>
          <w:b/>
          <w:sz w:val="18"/>
          <w:lang w:val="en-US"/>
        </w:rPr>
        <w:t xml:space="preserve">Supplementary Movie 1. </w:t>
      </w:r>
      <w:r w:rsidR="00A530AC">
        <w:rPr>
          <w:rFonts w:ascii="Palatino Linotype" w:hAnsi="Palatino Linotype"/>
          <w:b/>
          <w:sz w:val="18"/>
          <w:lang w:val="en-US"/>
        </w:rPr>
        <w:t xml:space="preserve">Representative MD </w:t>
      </w:r>
      <w:r w:rsidRPr="007A003E">
        <w:rPr>
          <w:rFonts w:ascii="Palatino Linotype" w:hAnsi="Palatino Linotype"/>
          <w:b/>
          <w:sz w:val="18"/>
          <w:lang w:val="en-US"/>
        </w:rPr>
        <w:t xml:space="preserve">simulation of RW16 interacting with a </w:t>
      </w:r>
      <w:r w:rsidR="00A530AC">
        <w:rPr>
          <w:rFonts w:ascii="Palatino Linotype" w:hAnsi="Palatino Linotype"/>
          <w:b/>
          <w:sz w:val="18"/>
          <w:lang w:val="en-US"/>
        </w:rPr>
        <w:t xml:space="preserve">DOPC </w:t>
      </w:r>
      <w:r w:rsidRPr="007A003E">
        <w:rPr>
          <w:rFonts w:ascii="Palatino Linotype" w:hAnsi="Palatino Linotype"/>
          <w:b/>
          <w:sz w:val="18"/>
          <w:lang w:val="en-US"/>
        </w:rPr>
        <w:t>bilayer</w:t>
      </w:r>
      <w:r w:rsidRPr="007A003E">
        <w:rPr>
          <w:rFonts w:ascii="Palatino Linotype" w:hAnsi="Palatino Linotype"/>
          <w:sz w:val="18"/>
          <w:lang w:val="en-US"/>
        </w:rPr>
        <w:t xml:space="preserve">. </w:t>
      </w:r>
      <w:r w:rsidR="00A530AC">
        <w:rPr>
          <w:rFonts w:ascii="Palatino Linotype" w:hAnsi="Palatino Linotype"/>
          <w:sz w:val="18"/>
          <w:lang w:val="en-US"/>
        </w:rPr>
        <w:t xml:space="preserve">The </w:t>
      </w:r>
      <w:r w:rsidRPr="007A003E">
        <w:rPr>
          <w:rFonts w:ascii="Palatino Linotype" w:hAnsi="Palatino Linotype"/>
          <w:sz w:val="18"/>
          <w:lang w:val="en-US"/>
        </w:rPr>
        <w:t xml:space="preserve">N-ter is on the left and sidechains are </w:t>
      </w:r>
      <w:r w:rsidR="00A530AC">
        <w:rPr>
          <w:rFonts w:ascii="Palatino Linotype" w:hAnsi="Palatino Linotype"/>
          <w:sz w:val="18"/>
          <w:lang w:val="en-US"/>
        </w:rPr>
        <w:t>depicted</w:t>
      </w:r>
      <w:r w:rsidRPr="007A003E">
        <w:rPr>
          <w:rFonts w:ascii="Palatino Linotype" w:hAnsi="Palatino Linotype"/>
          <w:sz w:val="18"/>
          <w:lang w:val="en-US"/>
        </w:rPr>
        <w:t xml:space="preserve"> in licorice representation with the Trp in orange and Arg in blue, the backbone is represented as a magenta ribbon and lipids are drawn as lines with the acyl chains in cyan and the Van </w:t>
      </w:r>
      <w:r w:rsidR="007A003E">
        <w:rPr>
          <w:rFonts w:ascii="Palatino Linotype" w:hAnsi="Palatino Linotype"/>
          <w:sz w:val="18"/>
          <w:lang w:val="en-US"/>
        </w:rPr>
        <w:t>d</w:t>
      </w:r>
      <w:r w:rsidRPr="007A003E">
        <w:rPr>
          <w:rFonts w:ascii="Palatino Linotype" w:hAnsi="Palatino Linotype"/>
          <w:sz w:val="18"/>
          <w:lang w:val="en-US"/>
        </w:rPr>
        <w:t xml:space="preserve">er Waals spheres </w:t>
      </w:r>
      <w:r w:rsidR="00A530AC">
        <w:rPr>
          <w:rFonts w:ascii="Palatino Linotype" w:hAnsi="Palatino Linotype"/>
          <w:sz w:val="18"/>
          <w:lang w:val="en-US"/>
        </w:rPr>
        <w:t>corresponding to</w:t>
      </w:r>
      <w:r w:rsidRPr="007A003E">
        <w:rPr>
          <w:rFonts w:ascii="Palatino Linotype" w:hAnsi="Palatino Linotype"/>
          <w:sz w:val="18"/>
          <w:lang w:val="en-US"/>
        </w:rPr>
        <w:t xml:space="preserve"> the phosphorous.</w:t>
      </w:r>
    </w:p>
    <w:sectPr w:rsidR="0080767C" w:rsidRPr="007A00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6F85"/>
    <w:rsid w:val="00076D70"/>
    <w:rsid w:val="001C3B6A"/>
    <w:rsid w:val="001F31D8"/>
    <w:rsid w:val="002E1AA2"/>
    <w:rsid w:val="006A7F2A"/>
    <w:rsid w:val="007A003E"/>
    <w:rsid w:val="007C59E4"/>
    <w:rsid w:val="0080767C"/>
    <w:rsid w:val="00A530AC"/>
    <w:rsid w:val="00BE3C93"/>
    <w:rsid w:val="00C06F85"/>
    <w:rsid w:val="00C12113"/>
    <w:rsid w:val="00DB7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E684E34"/>
  <w15:chartTrackingRefBased/>
  <w15:docId w15:val="{BC644F1E-13CB-4849-9BFD-DCDE830C8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MDPI11articletype">
    <w:name w:val="MDPI_1.1_article_type"/>
    <w:basedOn w:val="Normal"/>
    <w:next w:val="MDPI12title"/>
    <w:qFormat/>
    <w:rsid w:val="00C06F85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MDPI13authornames"/>
    <w:qFormat/>
    <w:rsid w:val="00C06F85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C06F85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C06F85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C06F85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character" w:styleId="Lienhypertexte">
    <w:name w:val="Hyperlink"/>
    <w:uiPriority w:val="99"/>
    <w:unhideWhenUsed/>
    <w:rsid w:val="00C06F85"/>
    <w:rPr>
      <w:color w:val="0563C1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06F8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06F85"/>
    <w:rPr>
      <w:rFonts w:ascii="Segoe UI" w:hAnsi="Segoe UI" w:cs="Segoe UI"/>
      <w:sz w:val="18"/>
      <w:szCs w:val="18"/>
    </w:rPr>
  </w:style>
  <w:style w:type="paragraph" w:customStyle="1" w:styleId="MDPI51figurecaption">
    <w:name w:val="MDPI_5.1_figure_caption"/>
    <w:basedOn w:val="Normal"/>
    <w:qFormat/>
    <w:rsid w:val="00C06F85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character" w:styleId="Marquedecommentaire">
    <w:name w:val="annotation reference"/>
    <w:basedOn w:val="Policepardfaut"/>
    <w:uiPriority w:val="99"/>
    <w:semiHidden/>
    <w:unhideWhenUsed/>
    <w:rsid w:val="007C59E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C59E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0"/>
      <w:szCs w:val="20"/>
      <w:lang w:val="en-US" w:eastAsia="de-DE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C59E4"/>
    <w:rPr>
      <w:rFonts w:ascii="Times New Roman" w:eastAsia="Times New Roman" w:hAnsi="Times New Roman" w:cs="Times New Roman"/>
      <w:color w:val="000000"/>
      <w:sz w:val="20"/>
      <w:szCs w:val="20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hyperlink" Target="mailto:i.alves@cbmn.u-bordeaux.fr" TargetMode="External"/><Relationship Id="rId10" Type="http://schemas.openxmlformats.org/officeDocument/2006/relationships/fontTable" Target="fontTable.xml"/><Relationship Id="rId4" Type="http://schemas.openxmlformats.org/officeDocument/2006/relationships/hyperlink" Target="mailto:marie-lise.jobin@u-bordeaux.fr" TargetMode="Externa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525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Marie-Lise Jobin</dc:creator>
  <cp:keywords/>
  <dc:description/>
  <cp:lastModifiedBy>marie-lise jobin</cp:lastModifiedBy>
  <cp:revision>5</cp:revision>
  <dcterms:created xsi:type="dcterms:W3CDTF">2019-09-06T07:44:00Z</dcterms:created>
  <dcterms:modified xsi:type="dcterms:W3CDTF">2019-09-06T08:10:00Z</dcterms:modified>
</cp:coreProperties>
</file>