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1F" w:rsidRDefault="006A7440">
      <w:pPr>
        <w:rPr>
          <w:rFonts w:ascii="Palatino Linotype" w:hAnsi="Palatino Linotype"/>
          <w:sz w:val="18"/>
          <w:szCs w:val="18"/>
        </w:rPr>
      </w:pPr>
      <w:r w:rsidRPr="006A7440">
        <w:rPr>
          <w:rFonts w:ascii="Palatino Linotype" w:hAnsi="Palatino Linotype"/>
          <w:b/>
          <w:sz w:val="18"/>
          <w:szCs w:val="18"/>
        </w:rPr>
        <w:t>Table S4.</w:t>
      </w:r>
      <w:r>
        <w:rPr>
          <w:rFonts w:ascii="Palatino Linotype" w:hAnsi="Palatino Linotype"/>
          <w:sz w:val="18"/>
          <w:szCs w:val="18"/>
        </w:rPr>
        <w:t xml:space="preserve"> </w:t>
      </w:r>
      <w:r w:rsidR="00F0082B">
        <w:rPr>
          <w:rFonts w:ascii="Palatino Linotype" w:hAnsi="Palatino Linotype"/>
          <w:sz w:val="18"/>
          <w:szCs w:val="18"/>
        </w:rPr>
        <w:t>Over representation analysis</w:t>
      </w:r>
      <w:r>
        <w:rPr>
          <w:rFonts w:ascii="Palatino Linotype" w:hAnsi="Palatino Linotype"/>
          <w:sz w:val="18"/>
          <w:szCs w:val="18"/>
        </w:rPr>
        <w:t xml:space="preserve"> of the down</w:t>
      </w:r>
      <w:r w:rsidR="00842AB9">
        <w:rPr>
          <w:rFonts w:ascii="Palatino Linotype" w:hAnsi="Palatino Linotype"/>
          <w:sz w:val="18"/>
          <w:szCs w:val="18"/>
        </w:rPr>
        <w:t>-</w:t>
      </w:r>
      <w:r>
        <w:rPr>
          <w:rFonts w:ascii="Palatino Linotype" w:hAnsi="Palatino Linotype"/>
          <w:sz w:val="18"/>
          <w:szCs w:val="18"/>
        </w:rPr>
        <w:t xml:space="preserve">regulated </w:t>
      </w:r>
      <w:proofErr w:type="spellStart"/>
      <w:r>
        <w:rPr>
          <w:rFonts w:ascii="Palatino Linotype" w:hAnsi="Palatino Linotype"/>
          <w:sz w:val="18"/>
          <w:szCs w:val="18"/>
        </w:rPr>
        <w:t>miRNAs</w:t>
      </w:r>
      <w:proofErr w:type="spellEnd"/>
      <w:r>
        <w:rPr>
          <w:rFonts w:ascii="Palatino Linotype" w:hAnsi="Palatino Linotype"/>
          <w:sz w:val="18"/>
          <w:szCs w:val="18"/>
        </w:rPr>
        <w:t xml:space="preserve"> target genes against cancer and</w:t>
      </w:r>
      <w:r w:rsidR="00F0082B">
        <w:rPr>
          <w:rFonts w:ascii="Palatino Linotype" w:hAnsi="Palatino Linotype"/>
          <w:sz w:val="18"/>
          <w:szCs w:val="18"/>
        </w:rPr>
        <w:t xml:space="preserve"> other</w:t>
      </w:r>
      <w:r>
        <w:rPr>
          <w:rFonts w:ascii="Palatino Linotype" w:hAnsi="Palatino Linotype"/>
          <w:sz w:val="18"/>
          <w:szCs w:val="18"/>
        </w:rPr>
        <w:t xml:space="preserve"> databases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8"/>
        <w:gridCol w:w="1890"/>
        <w:gridCol w:w="1926"/>
      </w:tblGrid>
      <w:tr w:rsidR="006A7440" w:rsidRPr="00170B07" w:rsidTr="001E76DD">
        <w:tc>
          <w:tcPr>
            <w:tcW w:w="9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A7440" w:rsidRPr="00170B07" w:rsidRDefault="006A7440" w:rsidP="006A744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70B07">
              <w:rPr>
                <w:rFonts w:ascii="Palatino Linotype" w:hAnsi="Palatino Linotype"/>
                <w:b/>
                <w:sz w:val="20"/>
                <w:szCs w:val="20"/>
              </w:rPr>
              <w:t>Cancer Gene Census</w:t>
            </w:r>
          </w:p>
        </w:tc>
      </w:tr>
      <w:tr w:rsidR="006A7440" w:rsidRPr="00170B07" w:rsidTr="001E76DD">
        <w:tc>
          <w:tcPr>
            <w:tcW w:w="5238" w:type="dxa"/>
            <w:tcBorders>
              <w:top w:val="single" w:sz="4" w:space="0" w:color="auto"/>
            </w:tcBorders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 w:line="300" w:lineRule="atLeast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Gene Set 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:rsidR="006A7440" w:rsidRPr="00170B07" w:rsidRDefault="00585129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Enrichments</w:t>
            </w:r>
            <w:r w:rsidR="006A7440"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auto"/>
            </w:tcBorders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P-Value 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 w:line="300" w:lineRule="atLeast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oncogene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1.11</w:t>
            </w:r>
          </w:p>
        </w:tc>
        <w:tc>
          <w:tcPr>
            <w:tcW w:w="1926" w:type="dxa"/>
            <w:vAlign w:val="bottom"/>
          </w:tcPr>
          <w:p w:rsidR="006A7440" w:rsidRPr="00170B07" w:rsidRDefault="006E6657" w:rsidP="006E6657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8.80E-2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 w:line="300" w:lineRule="atLeast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fusion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1.0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1926" w:type="dxa"/>
            <w:vAlign w:val="bottom"/>
          </w:tcPr>
          <w:p w:rsidR="006A7440" w:rsidRPr="00170B07" w:rsidRDefault="006E6657" w:rsidP="006E6657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4.42E-01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 w:line="300" w:lineRule="atLeast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others</w:t>
            </w:r>
          </w:p>
        </w:tc>
        <w:tc>
          <w:tcPr>
            <w:tcW w:w="1890" w:type="dxa"/>
            <w:vAlign w:val="bottom"/>
          </w:tcPr>
          <w:p w:rsidR="006A7440" w:rsidRPr="00170B07" w:rsidRDefault="006E6657" w:rsidP="006E6657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</w:t>
            </w:r>
            <w:r w:rsidR="006A7440"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.</w:t>
            </w:r>
            <w:r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01</w:t>
            </w:r>
          </w:p>
        </w:tc>
        <w:tc>
          <w:tcPr>
            <w:tcW w:w="1926" w:type="dxa"/>
            <w:vAlign w:val="bottom"/>
          </w:tcPr>
          <w:p w:rsidR="006A7440" w:rsidRPr="00170B07" w:rsidRDefault="006E6657" w:rsidP="006E6657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5.77E-01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 w:line="300" w:lineRule="atLeast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tumor </w:t>
            </w: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suppresor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genes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0.8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1926" w:type="dxa"/>
            <w:vAlign w:val="bottom"/>
          </w:tcPr>
          <w:p w:rsidR="006A7440" w:rsidRPr="00170B07" w:rsidRDefault="006E6657" w:rsidP="006E6657">
            <w:pPr>
              <w:pStyle w:val="NormalWeb"/>
              <w:spacing w:before="0" w:beforeAutospacing="0" w:after="0" w:afterAutospacing="0" w:line="300" w:lineRule="atLeast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9.66E-01</w:t>
            </w:r>
          </w:p>
        </w:tc>
      </w:tr>
      <w:tr w:rsidR="006A7440" w:rsidRPr="00170B07" w:rsidTr="001E76DD">
        <w:tc>
          <w:tcPr>
            <w:tcW w:w="9054" w:type="dxa"/>
            <w:gridSpan w:val="3"/>
          </w:tcPr>
          <w:p w:rsidR="006A7440" w:rsidRPr="00170B07" w:rsidRDefault="006A7440" w:rsidP="006A744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70B07">
              <w:rPr>
                <w:rFonts w:ascii="Palatino Linotype" w:hAnsi="Palatino Linotype"/>
                <w:b/>
                <w:sz w:val="20"/>
                <w:szCs w:val="20"/>
              </w:rPr>
              <w:t>GLAD4U databases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Cell Transformation, </w:t>
            </w: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Neoplastic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2.1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5.48E-12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Neoplastic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Processes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1.7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5.64E-10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Neoplasm Invasiveness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1.81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5.95E-09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Chromosome Aberrations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1.6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3.59E-06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Neoplasms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, </w:t>
            </w: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Squamous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Cell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1.5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7.39E-06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Neoplasms</w:t>
            </w:r>
            <w:proofErr w:type="spellEnd"/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1.40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8.42E-06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Leukemia, Myeloid, Acute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1.80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9.46E-06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Neoplasm Metastasis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1.55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1.12E-05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Translocation, Genetic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1.5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1.34E-05</w:t>
            </w:r>
          </w:p>
        </w:tc>
      </w:tr>
      <w:tr w:rsidR="006A7440" w:rsidRPr="00170B07" w:rsidTr="001E76DD">
        <w:tc>
          <w:tcPr>
            <w:tcW w:w="5238" w:type="dxa"/>
            <w:vAlign w:val="bottom"/>
          </w:tcPr>
          <w:p w:rsidR="006A7440" w:rsidRPr="00170B07" w:rsidRDefault="006A7440" w:rsidP="00F0082B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Leukemia</w:t>
            </w:r>
          </w:p>
        </w:tc>
        <w:tc>
          <w:tcPr>
            <w:tcW w:w="1890" w:type="dxa"/>
            <w:vAlign w:val="bottom"/>
          </w:tcPr>
          <w:p w:rsidR="006A7440" w:rsidRPr="00170B07" w:rsidRDefault="006A7440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1.52</w:t>
            </w:r>
          </w:p>
        </w:tc>
        <w:tc>
          <w:tcPr>
            <w:tcW w:w="1926" w:type="dxa"/>
            <w:vAlign w:val="bottom"/>
          </w:tcPr>
          <w:p w:rsidR="006A7440" w:rsidRPr="00170B07" w:rsidRDefault="006A7440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1.58E-05</w:t>
            </w:r>
          </w:p>
        </w:tc>
      </w:tr>
      <w:tr w:rsidR="00F0082B" w:rsidRPr="00170B07" w:rsidTr="001E76DD">
        <w:tc>
          <w:tcPr>
            <w:tcW w:w="9054" w:type="dxa"/>
            <w:gridSpan w:val="3"/>
            <w:vAlign w:val="bottom"/>
          </w:tcPr>
          <w:p w:rsidR="00F0082B" w:rsidRPr="00170B07" w:rsidRDefault="00F0082B" w:rsidP="00F0082B">
            <w:pPr>
              <w:pStyle w:val="NormalWeb"/>
              <w:jc w:val="center"/>
              <w:textAlignment w:val="bottom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OMIM databases 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Colorectal cancer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22.23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1.64E-06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Diabetes mellitus, noninsulin-dependent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12.8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8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4.82E-06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Lung </w:t>
            </w: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canceralveolar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cell carcinoma, included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18.3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4.87E-06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Leukemia, acute myeloid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14.82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1.52E-05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Juvenile </w:t>
            </w: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myelomonocytic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leukemia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37.35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3.87E-05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Intervertebral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disc disease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31.12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7.64E-05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Osteoporosis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31.12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7.64E-05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Tetralogy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of </w:t>
            </w: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fallot</w:t>
            </w:r>
            <w:proofErr w:type="spellEnd"/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23.34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2.09E-04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Breast cancer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10.3</w:t>
            </w:r>
            <w:r w:rsidR="006E665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8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5.06E-04</w:t>
            </w:r>
          </w:p>
        </w:tc>
      </w:tr>
      <w:tr w:rsidR="00F0082B" w:rsidRPr="00170B07" w:rsidTr="001E76DD">
        <w:tc>
          <w:tcPr>
            <w:tcW w:w="5238" w:type="dxa"/>
            <w:vAlign w:val="bottom"/>
          </w:tcPr>
          <w:p w:rsidR="00F0082B" w:rsidRPr="00170B07" w:rsidRDefault="00585129" w:rsidP="00585129">
            <w:pPr>
              <w:pStyle w:val="NormalWeb"/>
              <w:spacing w:before="0" w:beforeAutospacing="0" w:after="0" w:afterAutospacing="0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Myocardial infarction, susceptibility </w:t>
            </w:r>
            <w:proofErr w:type="spellStart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tomyocardial</w:t>
            </w:r>
            <w:proofErr w:type="spellEnd"/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 xml:space="preserve"> infarction</w:t>
            </w:r>
          </w:p>
        </w:tc>
        <w:tc>
          <w:tcPr>
            <w:tcW w:w="1890" w:type="dxa"/>
            <w:vAlign w:val="bottom"/>
          </w:tcPr>
          <w:p w:rsidR="00F0082B" w:rsidRPr="00170B07" w:rsidRDefault="00F0082B" w:rsidP="006E6657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15.56</w:t>
            </w:r>
          </w:p>
        </w:tc>
        <w:tc>
          <w:tcPr>
            <w:tcW w:w="1926" w:type="dxa"/>
            <w:vAlign w:val="bottom"/>
          </w:tcPr>
          <w:p w:rsidR="00F0082B" w:rsidRPr="00170B07" w:rsidRDefault="00F0082B" w:rsidP="00F0082B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Palatino Linotype" w:hAnsi="Palatino Linotype" w:cs="Arial"/>
                <w:sz w:val="20"/>
                <w:szCs w:val="20"/>
              </w:rPr>
            </w:pPr>
            <w:r w:rsidRPr="00170B07">
              <w:rPr>
                <w:rFonts w:ascii="Palatino Linotype" w:hAnsi="Palatino Linotype" w:cs="Arial"/>
                <w:color w:val="000000"/>
                <w:kern w:val="24"/>
                <w:sz w:val="20"/>
                <w:szCs w:val="20"/>
              </w:rPr>
              <w:t>7.85E-04</w:t>
            </w:r>
          </w:p>
        </w:tc>
      </w:tr>
    </w:tbl>
    <w:p w:rsidR="006A7440" w:rsidRPr="006A7440" w:rsidRDefault="006A7440">
      <w:pPr>
        <w:rPr>
          <w:rFonts w:ascii="Palatino Linotype" w:hAnsi="Palatino Linotype"/>
          <w:sz w:val="18"/>
          <w:szCs w:val="18"/>
        </w:rPr>
      </w:pPr>
    </w:p>
    <w:sectPr w:rsidR="006A7440" w:rsidRPr="006A7440" w:rsidSect="0044461F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characterSpacingControl w:val="doNotCompress"/>
  <w:compat>
    <w:useFELayout/>
  </w:compat>
  <w:rsids>
    <w:rsidRoot w:val="006A7440"/>
    <w:rsid w:val="00170B07"/>
    <w:rsid w:val="001A3D1E"/>
    <w:rsid w:val="001E76DD"/>
    <w:rsid w:val="0044461F"/>
    <w:rsid w:val="00585129"/>
    <w:rsid w:val="00676BD9"/>
    <w:rsid w:val="006A7440"/>
    <w:rsid w:val="006E6657"/>
    <w:rsid w:val="00842AB9"/>
    <w:rsid w:val="00B13EA9"/>
    <w:rsid w:val="00C77AE9"/>
    <w:rsid w:val="00F00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EA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E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E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E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E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B13E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ko-KR"/>
    </w:rPr>
  </w:style>
  <w:style w:type="character" w:styleId="Emphasis">
    <w:name w:val="Emphasis"/>
    <w:basedOn w:val="DefaultParagraphFont"/>
    <w:qFormat/>
    <w:rsid w:val="00B13EA9"/>
    <w:rPr>
      <w:i/>
      <w:iCs/>
    </w:rPr>
  </w:style>
  <w:style w:type="paragraph" w:styleId="ListParagraph">
    <w:name w:val="List Paragraph"/>
    <w:basedOn w:val="Normal"/>
    <w:uiPriority w:val="34"/>
    <w:qFormat/>
    <w:rsid w:val="00B13EA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6A7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A7440"/>
    <w:pPr>
      <w:spacing w:before="100" w:beforeAutospacing="1" w:after="100" w:afterAutospacing="1"/>
    </w:pPr>
    <w:rPr>
      <w:rFonts w:eastAsia="Times New Roman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6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6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Mahfuz PC</dc:creator>
  <cp:keywords/>
  <dc:description/>
  <cp:lastModifiedBy>Mahfuz PC</cp:lastModifiedBy>
  <cp:revision>8</cp:revision>
  <dcterms:created xsi:type="dcterms:W3CDTF">2019-09-03T11:50:00Z</dcterms:created>
  <dcterms:modified xsi:type="dcterms:W3CDTF">2019-09-09T02:44:00Z</dcterms:modified>
</cp:coreProperties>
</file>