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2127" w:rsidRPr="009B0533" w:rsidRDefault="008C596D" w:rsidP="00863F59">
      <w:pPr>
        <w:spacing w:line="360" w:lineRule="auto"/>
        <w:rPr>
          <w:b/>
        </w:rPr>
      </w:pPr>
      <w:r>
        <w:rPr>
          <w:b/>
        </w:rPr>
        <w:t xml:space="preserve">LEGENDS TO </w:t>
      </w:r>
      <w:r w:rsidR="005E2127" w:rsidRPr="009B0533">
        <w:rPr>
          <w:b/>
        </w:rPr>
        <w:t>SUPPLEMENTARY FIGURES</w:t>
      </w:r>
    </w:p>
    <w:p w:rsidR="005E2127" w:rsidRPr="009B0533" w:rsidRDefault="005E2127" w:rsidP="00863F59">
      <w:pPr>
        <w:spacing w:line="360" w:lineRule="auto"/>
      </w:pPr>
    </w:p>
    <w:p w:rsidR="005E2127" w:rsidRPr="009B0533" w:rsidRDefault="005E2127" w:rsidP="00863F59">
      <w:pPr>
        <w:spacing w:line="360" w:lineRule="auto"/>
        <w:jc w:val="both"/>
      </w:pPr>
      <w:r w:rsidRPr="009B0533">
        <w:rPr>
          <w:b/>
        </w:rPr>
        <w:t xml:space="preserve">Figure S1: Expression of </w:t>
      </w:r>
      <w:r w:rsidRPr="009B0533">
        <w:rPr>
          <w:b/>
          <w:i/>
        </w:rPr>
        <w:t>RAMP3</w:t>
      </w:r>
      <w:r w:rsidRPr="009B0533">
        <w:rPr>
          <w:b/>
        </w:rPr>
        <w:t xml:space="preserve">, and prognostic significance of </w:t>
      </w:r>
      <w:r w:rsidRPr="009B0533">
        <w:rPr>
          <w:b/>
          <w:i/>
        </w:rPr>
        <w:t>CALCRL</w:t>
      </w:r>
      <w:r w:rsidRPr="009B0533">
        <w:rPr>
          <w:b/>
        </w:rPr>
        <w:t xml:space="preserve"> in AML. </w:t>
      </w:r>
      <w:r w:rsidR="0026441F">
        <w:t>(</w:t>
      </w:r>
      <w:r w:rsidR="0026441F" w:rsidRPr="0026441F">
        <w:rPr>
          <w:b/>
        </w:rPr>
        <w:t>a</w:t>
      </w:r>
      <w:r w:rsidRPr="009B0533">
        <w:t xml:space="preserve">) Expression of </w:t>
      </w:r>
      <w:r w:rsidRPr="009B0533">
        <w:rPr>
          <w:i/>
        </w:rPr>
        <w:t>RAMP3</w:t>
      </w:r>
      <w:r w:rsidRPr="009B0533">
        <w:t xml:space="preserve"> in paired samples from diagnosis (Dx) and relapse (Rel) of AML was determined by qRT-PCR. Normalization to </w:t>
      </w:r>
      <w:r w:rsidRPr="009B0533">
        <w:rPr>
          <w:rFonts w:ascii="Symbol" w:hAnsi="Symbol"/>
          <w:i/>
        </w:rPr>
        <w:t></w:t>
      </w:r>
      <w:r w:rsidRPr="009B0533">
        <w:rPr>
          <w:i/>
        </w:rPr>
        <w:t>-2-microglobulin</w:t>
      </w:r>
      <w:r w:rsidRPr="009B0533">
        <w:t xml:space="preserve"> and calibration to sample C4 was performed using the </w:t>
      </w:r>
      <w:r w:rsidRPr="009B0533">
        <w:rPr>
          <w:rFonts w:ascii="Symbol" w:hAnsi="Symbol"/>
        </w:rPr>
        <w:t></w:t>
      </w:r>
      <w:r w:rsidRPr="009B0533">
        <w:rPr>
          <w:rFonts w:ascii="Symbol" w:hAnsi="Symbol"/>
        </w:rPr>
        <w:t></w:t>
      </w:r>
      <w:r w:rsidRPr="009B0533">
        <w:t>C</w:t>
      </w:r>
      <w:r w:rsidRPr="000C3498">
        <w:rPr>
          <w:vertAlign w:val="subscript"/>
        </w:rPr>
        <w:t>T</w:t>
      </w:r>
      <w:r w:rsidRPr="009B0533">
        <w:t xml:space="preserve"> method. C1-C4, healthy control samples 1-4; BM, bone marrow; MNC, mononuclear cells; P1-P6, patients 1-6. </w:t>
      </w:r>
      <w:r>
        <w:t xml:space="preserve">Means + SD from technical replicates. </w:t>
      </w:r>
      <w:r w:rsidR="003F75FC">
        <w:t>(</w:t>
      </w:r>
      <w:r w:rsidR="003F75FC" w:rsidRPr="003F75FC">
        <w:rPr>
          <w:b/>
        </w:rPr>
        <w:t>b</w:t>
      </w:r>
      <w:r w:rsidRPr="009B0533">
        <w:t xml:space="preserve">) </w:t>
      </w:r>
      <w:r w:rsidRPr="009B0533">
        <w:rPr>
          <w:i/>
        </w:rPr>
        <w:t>CALCRL</w:t>
      </w:r>
      <w:r w:rsidRPr="009B0533">
        <w:t xml:space="preserve"> mRNA levels in HSCs, progenitors</w:t>
      </w:r>
      <w:r>
        <w:t xml:space="preserve"> (prog)</w:t>
      </w:r>
      <w:r w:rsidRPr="009B0533">
        <w:t>, and lineage marker positive</w:t>
      </w:r>
      <w:r>
        <w:t xml:space="preserve"> (lin+)</w:t>
      </w:r>
      <w:r w:rsidRPr="009B0533">
        <w:t xml:space="preserve"> cells from healthy donors contained in GSE30377. FDR was determined using lmFit. </w:t>
      </w:r>
      <w:r w:rsidR="003F75FC">
        <w:t>(</w:t>
      </w:r>
      <w:r w:rsidR="003F75FC" w:rsidRPr="003F75FC">
        <w:rPr>
          <w:b/>
        </w:rPr>
        <w:t>c</w:t>
      </w:r>
      <w:r w:rsidRPr="009B0533">
        <w:t xml:space="preserve">) Kaplan-Meier curves showing the association between high </w:t>
      </w:r>
      <w:r w:rsidRPr="009B0533">
        <w:rPr>
          <w:i/>
        </w:rPr>
        <w:t>CALCRL</w:t>
      </w:r>
      <w:r w:rsidRPr="009B0533">
        <w:t xml:space="preserve"> expression and poor outcome in AML data sets GSE12417,</w:t>
      </w:r>
      <w:r>
        <w:t xml:space="preserve"> </w:t>
      </w:r>
      <w:r w:rsidRPr="009B0533">
        <w:t>GSE6891,</w:t>
      </w:r>
      <w:r>
        <w:t xml:space="preserve"> </w:t>
      </w:r>
      <w:r w:rsidRPr="009B0533">
        <w:t>GSE37642, GSE71014</w:t>
      </w:r>
      <w:r>
        <w:t xml:space="preserve">, and </w:t>
      </w:r>
      <w:r w:rsidRPr="009B0533">
        <w:t xml:space="preserve">TCGA. </w:t>
      </w:r>
      <w:r>
        <w:t>O</w:t>
      </w:r>
      <w:r w:rsidRPr="006A7205">
        <w:rPr>
          <w:rFonts w:eastAsiaTheme="minorHAnsi"/>
          <w:lang w:val="de-DE" w:eastAsia="en-US"/>
        </w:rPr>
        <w:t xml:space="preserve">ptimal cut-offs for each data set were </w:t>
      </w:r>
      <w:r>
        <w:rPr>
          <w:rFonts w:eastAsiaTheme="minorHAnsi"/>
          <w:lang w:val="de-DE" w:eastAsia="en-US"/>
        </w:rPr>
        <w:t xml:space="preserve">determined </w:t>
      </w:r>
      <w:r w:rsidRPr="006A7205">
        <w:rPr>
          <w:rFonts w:eastAsiaTheme="minorHAnsi"/>
          <w:lang w:val="de-DE" w:eastAsia="en-US"/>
        </w:rPr>
        <w:t xml:space="preserve">using maximally selected rank statistics. </w:t>
      </w:r>
      <w:r w:rsidRPr="000C3498">
        <w:t>Significance was calculated using the log-rank test.</w:t>
      </w:r>
    </w:p>
    <w:p w:rsidR="005E2127" w:rsidRDefault="005E2127" w:rsidP="00863F59">
      <w:pPr>
        <w:spacing w:line="360" w:lineRule="auto"/>
      </w:pPr>
    </w:p>
    <w:p w:rsidR="005E2127" w:rsidRPr="009B0533" w:rsidRDefault="005E2127" w:rsidP="00863F59">
      <w:pPr>
        <w:spacing w:line="360" w:lineRule="auto"/>
        <w:jc w:val="both"/>
      </w:pPr>
      <w:r w:rsidRPr="009B0533">
        <w:rPr>
          <w:b/>
        </w:rPr>
        <w:t xml:space="preserve">Figure S2: CGRP increases the resistance of receptor positive human AML cell lines to drugs used in the treatment of AML. </w:t>
      </w:r>
      <w:r w:rsidRPr="009B0533">
        <w:t xml:space="preserve">HNT-34 </w:t>
      </w:r>
      <w:r w:rsidRPr="00B82A7C">
        <w:t xml:space="preserve">and UKK-M7 cells were pre-incubated with or without 100 nM CGRP for 1 h prior to addition of </w:t>
      </w:r>
      <w:r>
        <w:t xml:space="preserve">the indicated concentrations of </w:t>
      </w:r>
      <w:r w:rsidRPr="009B0533">
        <w:t>araC, and subjected to an AnnexinV/DAPI assay. Representative experiment</w:t>
      </w:r>
      <w:r>
        <w:t>s</w:t>
      </w:r>
      <w:r w:rsidRPr="009B0533">
        <w:t>.</w:t>
      </w:r>
    </w:p>
    <w:p w:rsidR="005E2127" w:rsidRPr="009B0533" w:rsidRDefault="005E2127" w:rsidP="00863F59">
      <w:pPr>
        <w:spacing w:line="360" w:lineRule="auto"/>
        <w:rPr>
          <w:highlight w:val="yellow"/>
        </w:rPr>
      </w:pPr>
    </w:p>
    <w:p w:rsidR="005E2127" w:rsidRPr="009B0533" w:rsidRDefault="005E2127" w:rsidP="00863F59">
      <w:pPr>
        <w:spacing w:line="360" w:lineRule="auto"/>
        <w:jc w:val="both"/>
        <w:rPr>
          <w:highlight w:val="yellow"/>
        </w:rPr>
      </w:pPr>
      <w:r w:rsidRPr="009B0533">
        <w:rPr>
          <w:b/>
        </w:rPr>
        <w:t>Figure S3:</w:t>
      </w:r>
      <w:r w:rsidRPr="009B0533">
        <w:t xml:space="preserve"> </w:t>
      </w:r>
      <w:r w:rsidRPr="009B0533">
        <w:rPr>
          <w:b/>
        </w:rPr>
        <w:t xml:space="preserve">Genetic inhibition of </w:t>
      </w:r>
      <w:r w:rsidRPr="009B0533">
        <w:rPr>
          <w:b/>
          <w:i/>
        </w:rPr>
        <w:t>CALCRL</w:t>
      </w:r>
      <w:r w:rsidRPr="009B0533">
        <w:rPr>
          <w:b/>
        </w:rPr>
        <w:t xml:space="preserve"> counteracts the CGRP-induced increase in chemotherapy resistance.</w:t>
      </w:r>
      <w:r w:rsidRPr="009B0533">
        <w:t xml:space="preserve"> HNT-34_shRen</w:t>
      </w:r>
      <w:r>
        <w:t>,</w:t>
      </w:r>
      <w:r w:rsidRPr="009B0533">
        <w:t xml:space="preserve"> HNT-34_shCALCRL-1, </w:t>
      </w:r>
      <w:r>
        <w:t xml:space="preserve">and </w:t>
      </w:r>
      <w:r w:rsidRPr="009B0533">
        <w:t>HNT-34_shCALCRL-2 were pre-incubated with or without 100 nM CGRP for 1 h prior to addition of 100 nM araC. AnnexinV/DAPI assay, representative experiment.</w:t>
      </w:r>
    </w:p>
    <w:p w:rsidR="005E2127" w:rsidRPr="009B0533" w:rsidRDefault="005E2127" w:rsidP="00863F59">
      <w:pPr>
        <w:spacing w:line="360" w:lineRule="auto"/>
      </w:pPr>
    </w:p>
    <w:p w:rsidR="005E2127" w:rsidRPr="009B0533" w:rsidRDefault="005E2127" w:rsidP="00863F59">
      <w:pPr>
        <w:spacing w:line="360" w:lineRule="auto"/>
        <w:jc w:val="both"/>
      </w:pPr>
      <w:r w:rsidRPr="009B0533">
        <w:rPr>
          <w:b/>
        </w:rPr>
        <w:t xml:space="preserve">Figure S4: Effects of </w:t>
      </w:r>
      <w:r w:rsidRPr="009B0533">
        <w:rPr>
          <w:b/>
          <w:i/>
        </w:rPr>
        <w:t>in vivo</w:t>
      </w:r>
      <w:r w:rsidRPr="009B0533">
        <w:rPr>
          <w:b/>
        </w:rPr>
        <w:t xml:space="preserve"> treatment with olcegepant on healthy mice and in an </w:t>
      </w:r>
      <w:r w:rsidRPr="009B0533">
        <w:rPr>
          <w:b/>
          <w:i/>
        </w:rPr>
        <w:t>MA9</w:t>
      </w:r>
      <w:r w:rsidRPr="009B0533">
        <w:rPr>
          <w:b/>
        </w:rPr>
        <w:t>-driven mouse model of AML</w:t>
      </w:r>
      <w:r w:rsidRPr="009B0533">
        <w:t xml:space="preserve">. </w:t>
      </w:r>
      <w:r w:rsidR="00013E61">
        <w:t>(</w:t>
      </w:r>
      <w:r w:rsidR="00013E61" w:rsidRPr="00013E61">
        <w:rPr>
          <w:b/>
        </w:rPr>
        <w:t>a</w:t>
      </w:r>
      <w:r w:rsidRPr="009B0533">
        <w:t xml:space="preserve">) Expression of </w:t>
      </w:r>
      <w:r w:rsidRPr="009B0533">
        <w:rPr>
          <w:i/>
        </w:rPr>
        <w:t>Calcrl</w:t>
      </w:r>
      <w:r w:rsidRPr="009B0533">
        <w:t xml:space="preserve"> </w:t>
      </w:r>
      <w:r w:rsidRPr="000C3498">
        <w:t xml:space="preserve">and </w:t>
      </w:r>
      <w:r w:rsidRPr="000C3498">
        <w:rPr>
          <w:i/>
        </w:rPr>
        <w:t>Ramp1</w:t>
      </w:r>
      <w:r w:rsidRPr="000C3498">
        <w:t xml:space="preserve"> </w:t>
      </w:r>
      <w:r w:rsidRPr="009B0533">
        <w:t xml:space="preserve">in healthy murine bone marrow (BM) cells </w:t>
      </w:r>
      <w:r>
        <w:t xml:space="preserve">(n = 3) </w:t>
      </w:r>
      <w:r w:rsidRPr="009B0533">
        <w:t xml:space="preserve">and in leukemic cells from an </w:t>
      </w:r>
      <w:r w:rsidRPr="009B0533">
        <w:rPr>
          <w:i/>
        </w:rPr>
        <w:t>MA9</w:t>
      </w:r>
      <w:r w:rsidRPr="009B0533">
        <w:t>-driven mouse model of AML (</w:t>
      </w:r>
      <w:bookmarkStart w:id="0" w:name="OLE_LINK1"/>
      <w:r w:rsidRPr="009B0533">
        <w:t>LC</w:t>
      </w:r>
      <w:r w:rsidRPr="009B0533">
        <w:rPr>
          <w:vertAlign w:val="superscript"/>
        </w:rPr>
        <w:t>LSK_MA9</w:t>
      </w:r>
      <w:bookmarkEnd w:id="0"/>
      <w:r>
        <w:t>; n = 4</w:t>
      </w:r>
      <w:r w:rsidRPr="009B0533">
        <w:t>) was determined by qRT-PCR. Normalization to m</w:t>
      </w:r>
      <w:r w:rsidRPr="009B0533">
        <w:rPr>
          <w:rFonts w:ascii="Symbol" w:hAnsi="Symbol"/>
          <w:i/>
        </w:rPr>
        <w:t></w:t>
      </w:r>
      <w:r w:rsidRPr="009B0533">
        <w:rPr>
          <w:i/>
        </w:rPr>
        <w:t>-2-microglobulin</w:t>
      </w:r>
      <w:r w:rsidRPr="009B0533">
        <w:t xml:space="preserve"> was performed using the </w:t>
      </w:r>
      <w:r w:rsidRPr="009B0533">
        <w:rPr>
          <w:rFonts w:ascii="Symbol" w:hAnsi="Symbol"/>
        </w:rPr>
        <w:t></w:t>
      </w:r>
      <w:r w:rsidRPr="009B0533">
        <w:rPr>
          <w:rFonts w:ascii="Symbol" w:hAnsi="Symbol"/>
        </w:rPr>
        <w:t></w:t>
      </w:r>
      <w:r w:rsidRPr="009B0533">
        <w:t>C</w:t>
      </w:r>
      <w:r w:rsidRPr="000C3498">
        <w:rPr>
          <w:vertAlign w:val="subscript"/>
        </w:rPr>
        <w:t>T</w:t>
      </w:r>
      <w:r w:rsidRPr="009B0533">
        <w:t xml:space="preserve"> method.</w:t>
      </w:r>
      <w:r>
        <w:t xml:space="preserve"> </w:t>
      </w:r>
      <w:r w:rsidRPr="00ED5411">
        <w:t>*, p&lt;0.0</w:t>
      </w:r>
      <w:r>
        <w:t>5</w:t>
      </w:r>
      <w:r w:rsidRPr="00ED5411">
        <w:t xml:space="preserve">, </w:t>
      </w:r>
      <w:r w:rsidRPr="009B0533">
        <w:t xml:space="preserve">Student's two-tailed t-test. </w:t>
      </w:r>
      <w:r w:rsidR="00013E61">
        <w:t>(</w:t>
      </w:r>
      <w:r w:rsidR="00013E61" w:rsidRPr="00013E61">
        <w:rPr>
          <w:b/>
        </w:rPr>
        <w:t>b, c</w:t>
      </w:r>
      <w:r w:rsidRPr="009B0533">
        <w:t xml:space="preserve">) Healthy C57BL/6 mice were treated with 0, 5, or 10 mg/kg olcegepant by daily </w:t>
      </w:r>
      <w:r w:rsidRPr="009B0533">
        <w:rPr>
          <w:i/>
        </w:rPr>
        <w:t>i.p.</w:t>
      </w:r>
      <w:r w:rsidRPr="009B0533">
        <w:t xml:space="preserve"> </w:t>
      </w:r>
      <w:r w:rsidRPr="00F00CF6">
        <w:t>injection from day 1-14 after a sublethal irradiation. ns, not significant; Student's two-tailed t-test.</w:t>
      </w:r>
      <w:r w:rsidRPr="009B0533">
        <w:t xml:space="preserve"> </w:t>
      </w:r>
      <w:r w:rsidR="00013E61">
        <w:t>(</w:t>
      </w:r>
      <w:r w:rsidR="00013E61" w:rsidRPr="00013E61">
        <w:rPr>
          <w:b/>
        </w:rPr>
        <w:t>b</w:t>
      </w:r>
      <w:r w:rsidRPr="009B0533">
        <w:t xml:space="preserve">) </w:t>
      </w:r>
      <w:r>
        <w:t>Spleen and l</w:t>
      </w:r>
      <w:r w:rsidRPr="009B0533">
        <w:t xml:space="preserve">iver weight. </w:t>
      </w:r>
      <w:r w:rsidR="00013E61">
        <w:t>(</w:t>
      </w:r>
      <w:r w:rsidR="00013E61" w:rsidRPr="00013E61">
        <w:rPr>
          <w:b/>
        </w:rPr>
        <w:t>c</w:t>
      </w:r>
      <w:r w:rsidRPr="009B0533">
        <w:t xml:space="preserve">) WBC, RBC, and platelet counts. </w:t>
      </w:r>
      <w:r w:rsidR="00013E61">
        <w:t>(</w:t>
      </w:r>
      <w:r w:rsidR="00013E61" w:rsidRPr="00013E61">
        <w:rPr>
          <w:b/>
        </w:rPr>
        <w:t>d-h</w:t>
      </w:r>
      <w:r w:rsidRPr="009B0533">
        <w:t>) C57BL/6 mice were transplanted with LC</w:t>
      </w:r>
      <w:r w:rsidRPr="009B0533">
        <w:rPr>
          <w:vertAlign w:val="superscript"/>
        </w:rPr>
        <w:t>LSK_MA9</w:t>
      </w:r>
      <w:r w:rsidRPr="009B0533">
        <w:t xml:space="preserve"> and treated with 0 or 10 mg/kg olcegepant by daily </w:t>
      </w:r>
      <w:r w:rsidRPr="009B0533">
        <w:rPr>
          <w:i/>
        </w:rPr>
        <w:t>i.p.</w:t>
      </w:r>
      <w:r w:rsidRPr="009B0533">
        <w:t xml:space="preserve"> injection from day 7-1</w:t>
      </w:r>
      <w:r>
        <w:t>8</w:t>
      </w:r>
      <w:r w:rsidRPr="009B0533">
        <w:t xml:space="preserve"> after transplantation. </w:t>
      </w:r>
      <w:r w:rsidRPr="000C3498">
        <w:t xml:space="preserve">ns, not significant; </w:t>
      </w:r>
      <w:r w:rsidRPr="009B0533">
        <w:t xml:space="preserve">Student's two-tailed t-test. </w:t>
      </w:r>
      <w:r w:rsidR="00013E61">
        <w:t>(</w:t>
      </w:r>
      <w:r w:rsidR="00013E61" w:rsidRPr="00013E61">
        <w:rPr>
          <w:b/>
        </w:rPr>
        <w:t>d</w:t>
      </w:r>
      <w:r w:rsidRPr="009B0533">
        <w:t xml:space="preserve">) Spleen weight. </w:t>
      </w:r>
      <w:r w:rsidR="00013E61">
        <w:t>(</w:t>
      </w:r>
      <w:r w:rsidR="00013E61" w:rsidRPr="00013E61">
        <w:rPr>
          <w:b/>
        </w:rPr>
        <w:t>e</w:t>
      </w:r>
      <w:r w:rsidRPr="009B0533">
        <w:t xml:space="preserve">) </w:t>
      </w:r>
      <w:r w:rsidRPr="009B0533">
        <w:lastRenderedPageBreak/>
        <w:t>WBC, RBC, and platelet</w:t>
      </w:r>
      <w:r>
        <w:t xml:space="preserve"> counts</w:t>
      </w:r>
      <w:r w:rsidRPr="009B0533">
        <w:t xml:space="preserve"> in peripheral blood. </w:t>
      </w:r>
      <w:r w:rsidR="00013E61">
        <w:t>(</w:t>
      </w:r>
      <w:r w:rsidR="00013E61" w:rsidRPr="00013E61">
        <w:rPr>
          <w:b/>
        </w:rPr>
        <w:t>f</w:t>
      </w:r>
      <w:r w:rsidRPr="009B0533">
        <w:t>) Leukemic cell differentiation: proportion of Gr1</w:t>
      </w:r>
      <w:r w:rsidRPr="009B0533">
        <w:rPr>
          <w:vertAlign w:val="superscript"/>
        </w:rPr>
        <w:t>+</w:t>
      </w:r>
      <w:r w:rsidRPr="009B0533">
        <w:t xml:space="preserve"> cells among Venus</w:t>
      </w:r>
      <w:r w:rsidRPr="009B0533">
        <w:rPr>
          <w:vertAlign w:val="superscript"/>
        </w:rPr>
        <w:t>+</w:t>
      </w:r>
      <w:r w:rsidRPr="009B0533">
        <w:t xml:space="preserve"> CD11b</w:t>
      </w:r>
      <w:r w:rsidRPr="009B0533">
        <w:rPr>
          <w:vertAlign w:val="superscript"/>
        </w:rPr>
        <w:t>+</w:t>
      </w:r>
      <w:r w:rsidRPr="009B0533">
        <w:t xml:space="preserve"> BM cells, representative experiment. </w:t>
      </w:r>
      <w:r w:rsidR="00013E61">
        <w:t>(</w:t>
      </w:r>
      <w:r w:rsidR="00013E61" w:rsidRPr="00013E61">
        <w:rPr>
          <w:b/>
        </w:rPr>
        <w:t>g</w:t>
      </w:r>
      <w:r w:rsidRPr="009B0533">
        <w:t>) Abundance of an LSC enriched (LSCe) population among leukemic (Venus</w:t>
      </w:r>
      <w:r w:rsidRPr="009B0533">
        <w:rPr>
          <w:vertAlign w:val="superscript"/>
        </w:rPr>
        <w:t>+</w:t>
      </w:r>
      <w:r w:rsidRPr="009B0533">
        <w:t xml:space="preserve">) cells in BM, representative experiment. </w:t>
      </w:r>
      <w:r w:rsidR="00013E61">
        <w:t>(</w:t>
      </w:r>
      <w:r w:rsidR="00013E61" w:rsidRPr="00013E61">
        <w:rPr>
          <w:b/>
        </w:rPr>
        <w:t>h</w:t>
      </w:r>
      <w:r w:rsidRPr="009B0533">
        <w:t>) Cell cycle distribution of LSCe, representative experiment.</w:t>
      </w:r>
    </w:p>
    <w:p w:rsidR="005E2127" w:rsidRPr="009B0533" w:rsidRDefault="005E2127" w:rsidP="00863F59">
      <w:pPr>
        <w:spacing w:line="360" w:lineRule="auto"/>
      </w:pPr>
    </w:p>
    <w:p w:rsidR="005E2127" w:rsidRPr="009B0533" w:rsidRDefault="005E2127" w:rsidP="00863F59">
      <w:pPr>
        <w:spacing w:line="360" w:lineRule="auto"/>
      </w:pPr>
      <w:r w:rsidRPr="009B0533">
        <w:rPr>
          <w:b/>
        </w:rPr>
        <w:t xml:space="preserve">Figure S5: araC does not up-regulate </w:t>
      </w:r>
      <w:r w:rsidRPr="009B0533">
        <w:rPr>
          <w:b/>
          <w:i/>
        </w:rPr>
        <w:t>CALCRL</w:t>
      </w:r>
      <w:r w:rsidRPr="009B0533">
        <w:rPr>
          <w:b/>
        </w:rPr>
        <w:t xml:space="preserve"> or </w:t>
      </w:r>
      <w:r w:rsidRPr="009B0533">
        <w:rPr>
          <w:b/>
          <w:i/>
        </w:rPr>
        <w:t>RAMP1</w:t>
      </w:r>
      <w:r w:rsidRPr="009B0533">
        <w:rPr>
          <w:b/>
        </w:rPr>
        <w:t xml:space="preserve"> expression in human AML cell lines.</w:t>
      </w:r>
    </w:p>
    <w:p w:rsidR="005E2127" w:rsidRPr="009B0533" w:rsidRDefault="005E2127" w:rsidP="00863F59">
      <w:pPr>
        <w:spacing w:line="360" w:lineRule="auto"/>
        <w:jc w:val="both"/>
      </w:pPr>
      <w:r w:rsidRPr="009B0533">
        <w:t xml:space="preserve">HNT-34 and UKK-M7 cells were treated with </w:t>
      </w:r>
      <w:r>
        <w:t xml:space="preserve">the indicated concentrations of </w:t>
      </w:r>
      <w:r w:rsidRPr="009B0533">
        <w:t>araC for 2 days</w:t>
      </w:r>
      <w:r>
        <w:t>, and</w:t>
      </w:r>
      <w:r w:rsidRPr="009B0533">
        <w:t xml:space="preserve"> </w:t>
      </w:r>
      <w:r w:rsidRPr="009B0533">
        <w:rPr>
          <w:i/>
        </w:rPr>
        <w:t>CALCRL</w:t>
      </w:r>
      <w:r w:rsidRPr="009B0533">
        <w:t xml:space="preserve"> and </w:t>
      </w:r>
      <w:r w:rsidRPr="009B0533">
        <w:rPr>
          <w:i/>
        </w:rPr>
        <w:t>RAMP1</w:t>
      </w:r>
      <w:r w:rsidRPr="009B0533">
        <w:t xml:space="preserve"> mRNA levels were determined by qRT-PCR. Normalization to </w:t>
      </w:r>
      <w:r w:rsidRPr="009B0533">
        <w:rPr>
          <w:rFonts w:ascii="Symbol" w:hAnsi="Symbol"/>
          <w:i/>
        </w:rPr>
        <w:t></w:t>
      </w:r>
      <w:r w:rsidRPr="009B0533">
        <w:rPr>
          <w:i/>
        </w:rPr>
        <w:t>-2-microglobulin</w:t>
      </w:r>
      <w:r w:rsidRPr="009B0533">
        <w:t xml:space="preserve"> was performed using the </w:t>
      </w:r>
      <w:r w:rsidRPr="009B0533">
        <w:rPr>
          <w:rFonts w:ascii="Symbol" w:hAnsi="Symbol"/>
        </w:rPr>
        <w:t></w:t>
      </w:r>
      <w:r w:rsidRPr="009B0533">
        <w:rPr>
          <w:rFonts w:ascii="Symbol" w:hAnsi="Symbol"/>
        </w:rPr>
        <w:t></w:t>
      </w:r>
      <w:r w:rsidRPr="009B0533">
        <w:t>C</w:t>
      </w:r>
      <w:r w:rsidRPr="00A27675">
        <w:rPr>
          <w:vertAlign w:val="subscript"/>
        </w:rPr>
        <w:t>T</w:t>
      </w:r>
      <w:r w:rsidRPr="009B0533">
        <w:t xml:space="preserve"> method. Means + SEM from 3 biological replicates.</w:t>
      </w:r>
      <w:r>
        <w:t xml:space="preserve"> </w:t>
      </w:r>
      <w:r w:rsidRPr="00A27675">
        <w:t xml:space="preserve">ns, not significant, **, p&lt;0.01; </w:t>
      </w:r>
      <w:r w:rsidRPr="009B0533">
        <w:t>Student's two-tailed t-test.</w:t>
      </w:r>
    </w:p>
    <w:p w:rsidR="005E2127" w:rsidRPr="009B0533" w:rsidRDefault="005E2127" w:rsidP="00863F59">
      <w:pPr>
        <w:spacing w:line="360" w:lineRule="auto"/>
      </w:pPr>
    </w:p>
    <w:p w:rsidR="005E2127" w:rsidRPr="009B0533" w:rsidRDefault="005E2127" w:rsidP="00863F59">
      <w:pPr>
        <w:spacing w:line="360" w:lineRule="auto"/>
        <w:jc w:val="both"/>
        <w:rPr>
          <w:b/>
        </w:rPr>
      </w:pPr>
      <w:r w:rsidRPr="009B0533">
        <w:rPr>
          <w:b/>
        </w:rPr>
        <w:t>Figure S6: CGRP alters the cytokine secretome of HNT-34 cells</w:t>
      </w:r>
    </w:p>
    <w:p w:rsidR="005E2127" w:rsidRPr="009B0533" w:rsidRDefault="005E2127" w:rsidP="00863F59">
      <w:pPr>
        <w:spacing w:line="360" w:lineRule="auto"/>
        <w:jc w:val="both"/>
        <w:rPr>
          <w:color w:val="000000" w:themeColor="text1"/>
        </w:rPr>
      </w:pPr>
      <w:r w:rsidRPr="009B0533">
        <w:rPr>
          <w:rFonts w:eastAsia="Arial"/>
          <w:color w:val="000000" w:themeColor="text1"/>
        </w:rPr>
        <w:t>HNT-34 cells were seeded at a concentration of 500/µl, and treated or not with 100</w:t>
      </w:r>
      <w:r>
        <w:rPr>
          <w:rFonts w:eastAsia="Arial"/>
          <w:color w:val="000000" w:themeColor="text1"/>
        </w:rPr>
        <w:t xml:space="preserve"> </w:t>
      </w:r>
      <w:r w:rsidRPr="009B0533">
        <w:rPr>
          <w:rFonts w:eastAsia="Arial"/>
          <w:color w:val="000000" w:themeColor="text1"/>
        </w:rPr>
        <w:t xml:space="preserve">nM CGRP for 1, 16, 24, or 48 h. After incubation, cells were removed from media via two centrifugation steps, and supernatants were stored at -80°C until analysis. The Bio-Rad Bio-Plex Pro Human Chemokine Panel, 40-Plex (#171AK99MR2) was used according to the manufacturer's protocol (http://www.bio-rad.com/webroot/web/pdf/lsr/literature/10031990.pdf). Means + SEM from 3 biological replicates. </w:t>
      </w:r>
      <w:r w:rsidR="00013E61">
        <w:rPr>
          <w:rFonts w:eastAsia="Arial"/>
          <w:color w:val="000000" w:themeColor="text1"/>
        </w:rPr>
        <w:t xml:space="preserve">n.s., not significant; </w:t>
      </w:r>
      <w:r w:rsidRPr="009B0533">
        <w:t>*, p&lt;0.05; **, p&lt;0.01; ***, p&lt;0.001; Student's two-tailed t-test.</w:t>
      </w:r>
    </w:p>
    <w:p w:rsidR="005E2127" w:rsidRPr="009B0533" w:rsidRDefault="005E2127" w:rsidP="00863F59">
      <w:pPr>
        <w:spacing w:line="360" w:lineRule="auto"/>
      </w:pPr>
    </w:p>
    <w:p w:rsidR="005E2127" w:rsidRPr="009B0533" w:rsidRDefault="005E2127" w:rsidP="00863F59">
      <w:pPr>
        <w:spacing w:line="360" w:lineRule="auto"/>
        <w:jc w:val="both"/>
      </w:pPr>
      <w:r w:rsidRPr="009B0533">
        <w:rPr>
          <w:b/>
        </w:rPr>
        <w:t xml:space="preserve">Figure S7: UKK-M7 cells express RAMP2, and their resistance to chemotherapy is increased by adrenomedullin. </w:t>
      </w:r>
      <w:r w:rsidR="0038374A">
        <w:t>(</w:t>
      </w:r>
      <w:r w:rsidR="0038374A" w:rsidRPr="0038374A">
        <w:rPr>
          <w:b/>
        </w:rPr>
        <w:t>a</w:t>
      </w:r>
      <w:r w:rsidRPr="00A12B87">
        <w:t xml:space="preserve">) </w:t>
      </w:r>
      <w:r w:rsidRPr="009B0533">
        <w:rPr>
          <w:i/>
        </w:rPr>
        <w:t>RAMP2</w:t>
      </w:r>
      <w:r w:rsidRPr="009B0533">
        <w:t xml:space="preserve"> mRNA levels in HNT-34 and UKK-M7 cells were determined by qRT-PCR. Normalization to </w:t>
      </w:r>
      <w:r w:rsidRPr="009B0533">
        <w:rPr>
          <w:rFonts w:ascii="Symbol" w:hAnsi="Symbol"/>
          <w:i/>
        </w:rPr>
        <w:t></w:t>
      </w:r>
      <w:r w:rsidRPr="009B0533">
        <w:rPr>
          <w:i/>
        </w:rPr>
        <w:t>-2-microglobulin</w:t>
      </w:r>
      <w:r w:rsidRPr="009B0533">
        <w:t xml:space="preserve"> was performed using the </w:t>
      </w:r>
      <w:r w:rsidRPr="009B0533">
        <w:rPr>
          <w:rFonts w:ascii="Symbol" w:hAnsi="Symbol"/>
        </w:rPr>
        <w:t></w:t>
      </w:r>
      <w:r w:rsidRPr="009B0533">
        <w:rPr>
          <w:rFonts w:ascii="Symbol" w:hAnsi="Symbol"/>
        </w:rPr>
        <w:t></w:t>
      </w:r>
      <w:r w:rsidRPr="009B0533">
        <w:t>C</w:t>
      </w:r>
      <w:r w:rsidRPr="00A12B87">
        <w:rPr>
          <w:vertAlign w:val="subscript"/>
        </w:rPr>
        <w:t>T</w:t>
      </w:r>
      <w:r w:rsidRPr="009B0533">
        <w:t xml:space="preserve"> method. Means + S</w:t>
      </w:r>
      <w:r>
        <w:t>D</w:t>
      </w:r>
      <w:r w:rsidRPr="009B0533">
        <w:t xml:space="preserve"> from </w:t>
      </w:r>
      <w:r>
        <w:t>technical</w:t>
      </w:r>
      <w:r w:rsidRPr="009B0533">
        <w:t xml:space="preserve"> replicates.</w:t>
      </w:r>
      <w:r>
        <w:t xml:space="preserve"> n.d., not detectable. </w:t>
      </w:r>
      <w:r w:rsidR="0038374A">
        <w:t>(</w:t>
      </w:r>
      <w:r w:rsidR="0038374A" w:rsidRPr="0038374A">
        <w:rPr>
          <w:b/>
        </w:rPr>
        <w:t>b</w:t>
      </w:r>
      <w:r w:rsidRPr="009B0533">
        <w:t xml:space="preserve">) </w:t>
      </w:r>
      <w:r w:rsidRPr="009F16EB">
        <w:t>CellTiter</w:t>
      </w:r>
      <w:r>
        <w:t>-</w:t>
      </w:r>
      <w:r w:rsidRPr="009F16EB">
        <w:t>Glo</w:t>
      </w:r>
      <w:r w:rsidRPr="009B0533">
        <w:t xml:space="preserve"> </w:t>
      </w:r>
      <w:r>
        <w:t>m</w:t>
      </w:r>
      <w:r w:rsidRPr="009B0533">
        <w:t xml:space="preserve">etabolic activity assay. Cells were pre-incubated with or without 100 nM adrenomedullin for 1 h prior to addition of the indicated concentrations of cytostatic drugs. Means + SEM from 3 biological replicates. ns, not significant, </w:t>
      </w:r>
      <w:r w:rsidRPr="00A12B87">
        <w:t xml:space="preserve">*, p&lt;0.05, </w:t>
      </w:r>
      <w:r w:rsidRPr="009B0533">
        <w:t>paired Student's two-tailed t-test.</w:t>
      </w:r>
    </w:p>
    <w:p w:rsidR="00443CA1" w:rsidRDefault="00443CA1" w:rsidP="00863F59">
      <w:pPr>
        <w:spacing w:line="360" w:lineRule="auto"/>
      </w:pPr>
    </w:p>
    <w:p w:rsidR="006154C8" w:rsidRPr="006154C8" w:rsidRDefault="006154C8" w:rsidP="00863F59">
      <w:pPr>
        <w:spacing w:line="360" w:lineRule="auto"/>
        <w:rPr>
          <w:b/>
        </w:rPr>
      </w:pPr>
      <w:r>
        <w:rPr>
          <w:b/>
        </w:rPr>
        <w:t>SUPPLEMENTARY TABLES</w:t>
      </w:r>
    </w:p>
    <w:p w:rsidR="006154C8" w:rsidRDefault="006154C8" w:rsidP="00863F59">
      <w:pPr>
        <w:spacing w:line="360" w:lineRule="auto"/>
      </w:pPr>
    </w:p>
    <w:p w:rsidR="005D22DF" w:rsidRPr="002D432E" w:rsidRDefault="005D22DF" w:rsidP="00863F59">
      <w:pPr>
        <w:spacing w:line="360" w:lineRule="auto"/>
      </w:pPr>
      <w:r w:rsidRPr="002D432E">
        <w:t xml:space="preserve">Table S1: Summary of publicly available AML gene expression data sets used to test prognostic significance of </w:t>
      </w:r>
      <w:r w:rsidRPr="002D432E">
        <w:rPr>
          <w:i/>
        </w:rPr>
        <w:t>CALCRL</w:t>
      </w:r>
      <w:r w:rsidRPr="002D432E">
        <w:t xml:space="preserve"> and </w:t>
      </w:r>
      <w:r w:rsidRPr="002D432E">
        <w:rPr>
          <w:i/>
        </w:rPr>
        <w:t>RAMP1</w:t>
      </w:r>
      <w:bookmarkStart w:id="1" w:name="_GoBack"/>
      <w:bookmarkEnd w:id="1"/>
      <w:r w:rsidR="00721439">
        <w:t>, a</w:t>
      </w:r>
      <w:r w:rsidRPr="002D432E">
        <w:t>nd Cox regression analyses</w:t>
      </w:r>
    </w:p>
    <w:p w:rsidR="005D22DF" w:rsidRPr="002D432E" w:rsidRDefault="005D22DF" w:rsidP="00863F59">
      <w:pPr>
        <w:spacing w:line="360" w:lineRule="auto"/>
      </w:pPr>
      <w:r w:rsidRPr="002D432E">
        <w:t>Table S2: Clinical characteristics of patients</w:t>
      </w:r>
      <w:r w:rsidR="007D2CEC" w:rsidRPr="002D432E">
        <w:t xml:space="preserve"> with AML</w:t>
      </w:r>
    </w:p>
    <w:sectPr w:rsidR="005D22DF" w:rsidRPr="002D432E">
      <w:foot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05B6" w:rsidRDefault="006305B6">
      <w:r>
        <w:separator/>
      </w:r>
    </w:p>
  </w:endnote>
  <w:endnote w:type="continuationSeparator" w:id="0">
    <w:p w:rsidR="006305B6" w:rsidRDefault="006305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32314220"/>
      <w:docPartObj>
        <w:docPartGallery w:val="Page Numbers (Bottom of Page)"/>
        <w:docPartUnique/>
      </w:docPartObj>
    </w:sdtPr>
    <w:sdtEndPr/>
    <w:sdtContent>
      <w:p w:rsidR="00561AA7" w:rsidRDefault="008C596D">
        <w:pPr>
          <w:pStyle w:val="Fuzeil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21439" w:rsidRPr="00721439">
          <w:rPr>
            <w:noProof/>
            <w:lang w:val="de-DE"/>
          </w:rPr>
          <w:t>2</w:t>
        </w:r>
        <w:r>
          <w:fldChar w:fldCharType="end"/>
        </w:r>
      </w:p>
    </w:sdtContent>
  </w:sdt>
  <w:p w:rsidR="00561AA7" w:rsidRDefault="006305B6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05B6" w:rsidRDefault="006305B6">
      <w:r>
        <w:separator/>
      </w:r>
    </w:p>
  </w:footnote>
  <w:footnote w:type="continuationSeparator" w:id="0">
    <w:p w:rsidR="006305B6" w:rsidRDefault="006305B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1015"/>
    <w:rsid w:val="00013E61"/>
    <w:rsid w:val="0005025B"/>
    <w:rsid w:val="0026441F"/>
    <w:rsid w:val="002D432E"/>
    <w:rsid w:val="00301015"/>
    <w:rsid w:val="0038374A"/>
    <w:rsid w:val="003F75FC"/>
    <w:rsid w:val="00415FD8"/>
    <w:rsid w:val="00443CA1"/>
    <w:rsid w:val="004F3445"/>
    <w:rsid w:val="005D22DF"/>
    <w:rsid w:val="005E2127"/>
    <w:rsid w:val="006154C8"/>
    <w:rsid w:val="006305B6"/>
    <w:rsid w:val="00721439"/>
    <w:rsid w:val="007D2CEC"/>
    <w:rsid w:val="00863F59"/>
    <w:rsid w:val="008A631F"/>
    <w:rsid w:val="008C596D"/>
    <w:rsid w:val="00AF530E"/>
    <w:rsid w:val="00BE25BE"/>
    <w:rsid w:val="00C77BD3"/>
    <w:rsid w:val="00D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E21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GB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link w:val="FuzeileZchn"/>
    <w:uiPriority w:val="99"/>
    <w:unhideWhenUsed/>
    <w:rsid w:val="005E212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127"/>
    <w:rPr>
      <w:rFonts w:ascii="Times New Roman" w:eastAsia="Times New Roman" w:hAnsi="Times New Roman" w:cs="Times New Roman"/>
      <w:sz w:val="24"/>
      <w:szCs w:val="24"/>
      <w:lang w:val="en-US"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E21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GB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link w:val="FuzeileZchn"/>
    <w:uiPriority w:val="99"/>
    <w:unhideWhenUsed/>
    <w:rsid w:val="005E212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127"/>
    <w:rPr>
      <w:rFonts w:ascii="Times New Roman" w:eastAsia="Times New Roman" w:hAnsi="Times New Roman" w:cs="Times New Roman"/>
      <w:sz w:val="24"/>
      <w:szCs w:val="24"/>
      <w:lang w:val="en-US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646</Words>
  <Characters>4070</Characters>
  <Application>Microsoft Office Word</Application>
  <DocSecurity>0</DocSecurity>
  <Lines>33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Medizinische Universitaet Wien</Company>
  <LinksUpToDate>false</LinksUpToDate>
  <CharactersWithSpaces>4707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Rotraud</dc:creator>
  <cp:lastModifiedBy>Rotraud</cp:lastModifiedBy>
  <cp:revision>21</cp:revision>
  <dcterms:created xsi:type="dcterms:W3CDTF">2019-09-25T14:23:00Z</dcterms:created>
  <dcterms:modified xsi:type="dcterms:W3CDTF">2019-09-26T17:15:00Z</dcterms:modified>
</cp:coreProperties>
</file>