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16"/>
          <w:szCs w:val="1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16"/>
          <w:szCs w:val="16"/>
          <w:lang w:val="en-US" w:eastAsia="zh-CN"/>
        </w:rPr>
        <w:t>Table 1 The pathway enrichment of differential metabolites in the two</w:t>
      </w:r>
      <w:r>
        <w:rPr>
          <w:rFonts w:hint="default" w:ascii="Times New Roman" w:hAnsi="Times New Roman" w:cs="Times New Roman"/>
          <w:b/>
          <w:bCs/>
          <w:i/>
          <w:iCs/>
          <w:sz w:val="16"/>
          <w:szCs w:val="16"/>
          <w:lang w:val="en-US" w:eastAsia="zh-CN"/>
        </w:rPr>
        <w:t xml:space="preserve"> B. sorokiniana </w:t>
      </w:r>
      <w:r>
        <w:rPr>
          <w:rFonts w:hint="default" w:ascii="Times New Roman" w:hAnsi="Times New Roman" w:cs="Times New Roman"/>
          <w:b/>
          <w:bCs/>
          <w:sz w:val="16"/>
          <w:szCs w:val="16"/>
          <w:lang w:val="en-US" w:eastAsia="zh-CN"/>
        </w:rPr>
        <w:t>strains</w:t>
      </w: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tbl>
      <w:tblPr>
        <w:tblStyle w:val="3"/>
        <w:tblpPr w:leftFromText="180" w:rightFromText="180" w:vertAnchor="page" w:horzAnchor="page" w:tblpX="1847" w:tblpY="2838"/>
        <w:tblOverlap w:val="never"/>
        <w:tblW w:w="6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3"/>
        <w:gridCol w:w="865"/>
        <w:gridCol w:w="614"/>
        <w:gridCol w:w="964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Pathway</w:t>
            </w:r>
          </w:p>
        </w:tc>
        <w:tc>
          <w:tcPr>
            <w:tcW w:w="865" w:type="dxa"/>
            <w:tcBorders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Total</w:t>
            </w:r>
          </w:p>
        </w:tc>
        <w:tc>
          <w:tcPr>
            <w:tcW w:w="614" w:type="dxa"/>
            <w:tcBorders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Hits</w:t>
            </w:r>
          </w:p>
        </w:tc>
        <w:tc>
          <w:tcPr>
            <w:tcW w:w="964" w:type="dxa"/>
            <w:tcBorders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Raw p</w:t>
            </w:r>
          </w:p>
        </w:tc>
        <w:tc>
          <w:tcPr>
            <w:tcW w:w="779" w:type="dxa"/>
            <w:tcBorders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Impact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left w:val="nil"/>
              <w:bottom w:val="nil"/>
              <w:right w:val="nil"/>
            </w:tcBorders>
            <w:vAlign w:val="top"/>
          </w:tcPr>
          <w:tbl>
            <w:tblPr>
              <w:tblStyle w:val="2"/>
              <w:tblW w:w="8826" w:type="dxa"/>
              <w:tblInd w:w="-271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93"/>
              <w:gridCol w:w="500"/>
              <w:gridCol w:w="1711"/>
              <w:gridCol w:w="1711"/>
              <w:gridCol w:w="17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" w:hRule="atLeast"/>
              </w:trPr>
              <w:tc>
                <w:tcPr>
                  <w:tcW w:w="3193" w:type="dxa"/>
                  <w:tcBorders>
                    <w:tl2br w:val="nil"/>
                    <w:tr2bl w:val="nil"/>
                  </w:tcBorders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Lines="0" w:beforeAutospacing="0" w:afterLines="0" w:afterAutospacing="0"/>
                    <w:ind w:right="0" w:firstLine="160" w:firstLineChars="100"/>
                    <w:jc w:val="left"/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  <w:t xml:space="preserve">Vitamin B6 metabolism </w:t>
                  </w:r>
                </w:p>
              </w:tc>
              <w:tc>
                <w:tcPr>
                  <w:tcW w:w="500" w:type="dxa"/>
                  <w:tcBorders>
                    <w:tl2br w:val="nil"/>
                    <w:tr2bl w:val="nil"/>
                  </w:tcBorders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Lines="0" w:beforeAutospacing="0" w:afterLines="0" w:afterAutospacing="0"/>
                    <w:ind w:left="0" w:right="0"/>
                    <w:jc w:val="left"/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711" w:type="dxa"/>
                  <w:tcBorders>
                    <w:tl2br w:val="nil"/>
                    <w:tr2bl w:val="nil"/>
                  </w:tcBorders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Lines="0" w:beforeAutospacing="0" w:afterLines="0" w:afterAutospacing="0"/>
                    <w:ind w:left="0" w:right="0"/>
                    <w:jc w:val="left"/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  <w:t xml:space="preserve">3 </w:t>
                  </w:r>
                </w:p>
              </w:tc>
              <w:tc>
                <w:tcPr>
                  <w:tcW w:w="1711" w:type="dxa"/>
                  <w:tcBorders>
                    <w:tl2br w:val="nil"/>
                    <w:tr2bl w:val="nil"/>
                  </w:tcBorders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Lines="0" w:beforeAutospacing="0" w:afterLines="0" w:afterAutospacing="0"/>
                    <w:ind w:left="0" w:right="0"/>
                    <w:jc w:val="left"/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  <w:t xml:space="preserve">0.029905 </w:t>
                  </w:r>
                </w:p>
              </w:tc>
              <w:tc>
                <w:tcPr>
                  <w:tcW w:w="1711" w:type="dxa"/>
                  <w:tcBorders>
                    <w:tl2br w:val="nil"/>
                    <w:tr2bl w:val="nil"/>
                  </w:tcBorders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Lines="0" w:beforeAutospacing="0" w:afterLines="0" w:afterAutospacing="0"/>
                    <w:ind w:left="0" w:right="0"/>
                    <w:jc w:val="left"/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16"/>
                      <w:szCs w:val="16"/>
                    </w:rPr>
                    <w:t xml:space="preserve">0 </w:t>
                  </w:r>
                </w:p>
              </w:tc>
            </w:tr>
          </w:tbl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</w:p>
        </w:tc>
        <w:tc>
          <w:tcPr>
            <w:tcW w:w="865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11</w:t>
            </w: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0.029905</w:t>
            </w:r>
          </w:p>
        </w:tc>
        <w:tc>
          <w:tcPr>
            <w:tcW w:w="779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Thiamine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0.13402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Beta-Alanine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0.18098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0.25641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Pantothenate and CoA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0.27976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0.27027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Isoquinoline alkaloid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 xml:space="preserve">1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0.33283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Biotin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0.37468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Phenylalanine, tyrosine and tryptophan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0.42533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0.04121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Ascorbate and aldarate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0.6124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Tyrosine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0.70502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0.27273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Arginine and proline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0.70487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0.14771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Diterpenoid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0.72452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Pyrimidine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0.73605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0.05086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Butanoate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0.74276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Pyruvate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0.74276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Citrate cycle (TCA cycle)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0.74276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0.01166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Ubiquinone and other terpenoid-quinone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0.77573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Glycolysis or Gluconeogenesis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0.81752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0.00772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Glycerophospholipid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0.81752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Aminoacyl-tRNA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67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0.82813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Glutathione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0.82966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/>
                <w:sz w:val="16"/>
                <w:szCs w:val="16"/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0.41249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Glycine, serine and threonine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0.86151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Phenylpropanoid biosynthesis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0.8794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Purine metabolism</w:t>
            </w:r>
            <w:bookmarkEnd w:id="0"/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55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0.88688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Porphyrin and chlorophyll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0.895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0.04184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Valine, leucine and isoleucine degradation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0.90204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0.10299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Cysteine and methionine metabolism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0.90861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0.08152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2803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Amino sugar and nucleotide sugar metabolism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37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0.92408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cs="Times New Roman" w:eastAsiaTheme="minorEastAsi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6"/>
                <w:szCs w:val="16"/>
                <w:vertAlign w:val="baseline"/>
                <w:lang w:val="en-US" w:eastAsia="zh-CN"/>
              </w:rPr>
              <w:t>0</w:t>
            </w:r>
          </w:p>
        </w:tc>
      </w:tr>
    </w:tbl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eastAsia" w:ascii="Times New Roman" w:hAnsi="Times New Roman" w:cs="Times New Roman"/>
          <w:sz w:val="16"/>
          <w:szCs w:val="16"/>
          <w:lang w:val="en-US" w:eastAsia="zh-CN"/>
        </w:rPr>
      </w:pPr>
    </w:p>
    <w:p>
      <w:pPr>
        <w:rPr>
          <w:rFonts w:hint="default" w:ascii="Times New Roman" w:hAnsi="Times New Roman" w:cs="Times New Roman"/>
          <w:sz w:val="16"/>
          <w:szCs w:val="16"/>
          <w:lang w:val="en-US" w:eastAsia="zh-CN"/>
        </w:rPr>
      </w:pPr>
      <w:r>
        <w:rPr>
          <w:rFonts w:hint="eastAsia" w:ascii="Times New Roman" w:hAnsi="Times New Roman" w:cs="Times New Roman"/>
          <w:sz w:val="16"/>
          <w:szCs w:val="16"/>
          <w:lang w:val="en-US" w:eastAsia="zh-CN"/>
        </w:rPr>
        <w:t>In particular, the Total is the total number of compounds in the pathway; the Hits is the actually matched number from the user uploaded data; the Raw p is the original p value calculated from the enrichment analysis; the Impact is the pathway impact value calculated from pathway topology analysis.</w:t>
      </w:r>
    </w:p>
    <w:p>
      <w:pPr>
        <w:spacing w:line="480" w:lineRule="exact"/>
        <w:jc w:val="left"/>
        <w:rPr>
          <w:rFonts w:hint="eastAsia" w:ascii="Times New Roman" w:hAnsi="Times New Roman"/>
          <w:color w:val="auto"/>
          <w:sz w:val="16"/>
          <w:szCs w:val="16"/>
        </w:rPr>
      </w:pPr>
    </w:p>
    <w:p>
      <w:pPr>
        <w:rPr>
          <w:sz w:val="16"/>
          <w:szCs w:val="1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20E9D"/>
    <w:rsid w:val="12C636A0"/>
    <w:rsid w:val="63216AF6"/>
    <w:rsid w:val="75C20E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2019-04-28T08:32:00Z</dcterms:created>
  <dc:creator>叶伟</dc:creator>
  <cp:lastModifiedBy>叶伟</cp:lastModifiedBy>
  <dcterms:modified xsi:type="dcterms:W3CDTF">2019-11-22T14:13:40Z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