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6D" w:rsidRPr="006E6E6D" w:rsidRDefault="00EE48BA" w:rsidP="006E6E6D">
      <w:pPr>
        <w:pStyle w:val="MDPI12title"/>
        <w:tabs>
          <w:tab w:val="left" w:pos="2687"/>
        </w:tabs>
        <w:spacing w:line="240" w:lineRule="atLeast"/>
        <w:jc w:val="both"/>
        <w:rPr>
          <w:rFonts w:ascii="Times New Roman" w:hAnsi="Times New Roman"/>
          <w:sz w:val="32"/>
          <w:szCs w:val="32"/>
        </w:rPr>
      </w:pPr>
      <w:r w:rsidRPr="00EE48BA">
        <w:rPr>
          <w:rFonts w:ascii="Times New Roman" w:hAnsi="Times New Roman"/>
          <w:sz w:val="32"/>
          <w:szCs w:val="32"/>
        </w:rPr>
        <w:t>International Journal of Molecular Sciences</w:t>
      </w:r>
    </w:p>
    <w:p w:rsidR="006E6E6D" w:rsidRPr="004E4A81" w:rsidRDefault="006E6E6D" w:rsidP="006E6E6D">
      <w:pPr>
        <w:pStyle w:val="MDPI12title"/>
        <w:tabs>
          <w:tab w:val="left" w:pos="2687"/>
        </w:tabs>
        <w:spacing w:line="24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Key maize drought-responsive genes and </w:t>
      </w:r>
      <w:bookmarkStart w:id="0" w:name="_GoBack"/>
      <w:bookmarkEnd w:id="0"/>
      <w:r>
        <w:rPr>
          <w:rFonts w:ascii="Times New Roman" w:hAnsi="Times New Roman"/>
        </w:rPr>
        <w:t xml:space="preserve">pathways revealed by comparative </w:t>
      </w:r>
      <w:proofErr w:type="spellStart"/>
      <w:r>
        <w:rPr>
          <w:rFonts w:ascii="Times New Roman" w:hAnsi="Times New Roman"/>
        </w:rPr>
        <w:t>transcriptome</w:t>
      </w:r>
      <w:proofErr w:type="spellEnd"/>
      <w:r>
        <w:rPr>
          <w:rFonts w:ascii="Times New Roman" w:hAnsi="Times New Roman"/>
        </w:rPr>
        <w:t xml:space="preserve"> and physiological analyses of two contrasting </w:t>
      </w:r>
      <w:r w:rsidRPr="004E4A81">
        <w:rPr>
          <w:rFonts w:ascii="Times New Roman" w:hAnsi="Times New Roman"/>
        </w:rPr>
        <w:t>inbred lines</w:t>
      </w:r>
    </w:p>
    <w:p w:rsidR="006E6E6D" w:rsidRPr="004E4A81" w:rsidRDefault="006E6E6D" w:rsidP="006E6E6D">
      <w:pPr>
        <w:pStyle w:val="MDPI13authornames"/>
        <w:rPr>
          <w:rFonts w:ascii="Times New Roman" w:hAnsi="Times New Roman"/>
        </w:rPr>
      </w:pPr>
      <w:proofErr w:type="spellStart"/>
      <w:r w:rsidRPr="004E4A81">
        <w:rPr>
          <w:rFonts w:ascii="Times New Roman" w:hAnsi="Times New Roman"/>
        </w:rPr>
        <w:t>Tinashe</w:t>
      </w:r>
      <w:proofErr w:type="spellEnd"/>
      <w:r w:rsidRPr="004E4A81">
        <w:rPr>
          <w:rFonts w:ascii="Times New Roman" w:hAnsi="Times New Roman"/>
        </w:rPr>
        <w:t xml:space="preserve"> </w:t>
      </w:r>
      <w:proofErr w:type="spellStart"/>
      <w:r w:rsidRPr="004E4A81">
        <w:rPr>
          <w:rFonts w:ascii="Times New Roman" w:hAnsi="Times New Roman"/>
        </w:rPr>
        <w:t>Zenda</w:t>
      </w:r>
      <w:proofErr w:type="spellEnd"/>
      <w:r w:rsidRPr="004E4A81">
        <w:rPr>
          <w:rFonts w:ascii="Times New Roman" w:hAnsi="Times New Roman"/>
        </w:rPr>
        <w:t xml:space="preserve"> </w:t>
      </w:r>
      <w:r w:rsidRPr="004E4A81">
        <w:rPr>
          <w:rFonts w:ascii="Times New Roman" w:hAnsi="Times New Roman"/>
          <w:vertAlign w:val="superscript"/>
        </w:rPr>
        <w:t>1,2</w:t>
      </w:r>
      <w:r w:rsidRPr="004E4A81">
        <w:rPr>
          <w:rFonts w:ascii="Times New Roman" w:hAnsi="Times New Roman"/>
        </w:rPr>
        <w:t xml:space="preserve"> </w:t>
      </w:r>
      <w:r w:rsidRPr="004E4A81">
        <w:rPr>
          <w:rFonts w:ascii="Times New Roman" w:hAnsi="Times New Roman"/>
          <w:vertAlign w:val="superscript"/>
        </w:rPr>
        <w:t>†</w:t>
      </w:r>
      <w:r w:rsidRPr="004E4A81">
        <w:rPr>
          <w:rFonts w:ascii="Times New Roman" w:hAnsi="Times New Roman"/>
        </w:rPr>
        <w:t xml:space="preserve">, </w:t>
      </w:r>
      <w:proofErr w:type="spellStart"/>
      <w:r w:rsidRPr="004E4A81">
        <w:rPr>
          <w:rFonts w:ascii="Times New Roman" w:hAnsi="Times New Roman"/>
        </w:rPr>
        <w:t>Songtao</w:t>
      </w:r>
      <w:proofErr w:type="spellEnd"/>
      <w:r w:rsidRPr="004E4A81">
        <w:rPr>
          <w:rFonts w:ascii="Times New Roman" w:hAnsi="Times New Roman"/>
        </w:rPr>
        <w:t xml:space="preserve"> Liu </w:t>
      </w:r>
      <w:r w:rsidRPr="004E4A81">
        <w:rPr>
          <w:rFonts w:ascii="Times New Roman" w:hAnsi="Times New Roman"/>
          <w:vertAlign w:val="superscript"/>
        </w:rPr>
        <w:t>1,2 †</w:t>
      </w:r>
      <w:r w:rsidRPr="004E4A81">
        <w:rPr>
          <w:rFonts w:ascii="Times New Roman" w:hAnsi="Times New Roman"/>
        </w:rPr>
        <w:t xml:space="preserve">, </w:t>
      </w:r>
      <w:proofErr w:type="spellStart"/>
      <w:r w:rsidRPr="004E4A81">
        <w:rPr>
          <w:rFonts w:ascii="Times New Roman" w:hAnsi="Times New Roman"/>
        </w:rPr>
        <w:t>Xuan</w:t>
      </w:r>
      <w:proofErr w:type="spellEnd"/>
      <w:r w:rsidRPr="004E4A81">
        <w:rPr>
          <w:rFonts w:ascii="Times New Roman" w:hAnsi="Times New Roman"/>
        </w:rPr>
        <w:t xml:space="preserve"> Wang </w:t>
      </w:r>
      <w:r w:rsidRPr="004E4A81">
        <w:rPr>
          <w:rFonts w:ascii="Times New Roman" w:hAnsi="Times New Roman"/>
          <w:vertAlign w:val="superscript"/>
        </w:rPr>
        <w:t>1,2</w:t>
      </w:r>
      <w:r w:rsidRPr="004E4A81">
        <w:rPr>
          <w:rFonts w:ascii="Times New Roman" w:hAnsi="Times New Roman"/>
        </w:rPr>
        <w:t xml:space="preserve">, </w:t>
      </w:r>
      <w:proofErr w:type="spellStart"/>
      <w:r w:rsidRPr="004E4A81">
        <w:rPr>
          <w:rFonts w:ascii="Times New Roman" w:hAnsi="Times New Roman"/>
        </w:rPr>
        <w:t>Guo</w:t>
      </w:r>
      <w:proofErr w:type="spellEnd"/>
      <w:r w:rsidRPr="004E4A81">
        <w:rPr>
          <w:rFonts w:ascii="Times New Roman" w:hAnsi="Times New Roman"/>
        </w:rPr>
        <w:t xml:space="preserve"> Liu </w:t>
      </w:r>
      <w:r w:rsidRPr="004E4A81">
        <w:rPr>
          <w:rFonts w:ascii="Times New Roman" w:hAnsi="Times New Roman"/>
          <w:vertAlign w:val="superscript"/>
        </w:rPr>
        <w:t>1,2</w:t>
      </w:r>
      <w:r w:rsidRPr="004E4A81">
        <w:rPr>
          <w:rFonts w:ascii="Times New Roman" w:hAnsi="Times New Roman"/>
        </w:rPr>
        <w:t xml:space="preserve">, </w:t>
      </w:r>
      <w:proofErr w:type="spellStart"/>
      <w:r w:rsidRPr="004E4A81">
        <w:rPr>
          <w:rFonts w:ascii="Times New Roman" w:hAnsi="Times New Roman"/>
        </w:rPr>
        <w:t>Hongyu</w:t>
      </w:r>
      <w:proofErr w:type="spellEnd"/>
      <w:r w:rsidRPr="004E4A81">
        <w:rPr>
          <w:rFonts w:ascii="Times New Roman" w:hAnsi="Times New Roman"/>
        </w:rPr>
        <w:t xml:space="preserve"> Jin </w:t>
      </w:r>
      <w:r w:rsidRPr="004E4A81">
        <w:rPr>
          <w:rFonts w:ascii="Times New Roman" w:hAnsi="Times New Roman"/>
          <w:vertAlign w:val="superscript"/>
        </w:rPr>
        <w:t>1,2</w:t>
      </w:r>
      <w:r w:rsidRPr="004E4A81">
        <w:rPr>
          <w:rFonts w:ascii="Times New Roman" w:hAnsi="Times New Roman"/>
        </w:rPr>
        <w:t xml:space="preserve">, </w:t>
      </w:r>
      <w:proofErr w:type="spellStart"/>
      <w:r w:rsidRPr="004E4A81">
        <w:rPr>
          <w:rFonts w:ascii="Times New Roman" w:hAnsi="Times New Roman"/>
        </w:rPr>
        <w:t>Anyi</w:t>
      </w:r>
      <w:proofErr w:type="spellEnd"/>
      <w:r w:rsidRPr="004E4A81">
        <w:rPr>
          <w:rFonts w:ascii="Times New Roman" w:hAnsi="Times New Roman"/>
        </w:rPr>
        <w:t xml:space="preserve"> Dong </w:t>
      </w:r>
      <w:r w:rsidRPr="004E4A81">
        <w:rPr>
          <w:rFonts w:ascii="Times New Roman" w:hAnsi="Times New Roman"/>
          <w:vertAlign w:val="superscript"/>
        </w:rPr>
        <w:t>1,2</w:t>
      </w:r>
      <w:r w:rsidRPr="004E4A81">
        <w:rPr>
          <w:rFonts w:ascii="Times New Roman" w:hAnsi="Times New Roman"/>
        </w:rPr>
        <w:t xml:space="preserve">, </w:t>
      </w:r>
      <w:proofErr w:type="spellStart"/>
      <w:r w:rsidRPr="004E4A81">
        <w:rPr>
          <w:rFonts w:ascii="Times New Roman" w:hAnsi="Times New Roman"/>
        </w:rPr>
        <w:t>Yatong</w:t>
      </w:r>
      <w:proofErr w:type="spellEnd"/>
      <w:r w:rsidRPr="004E4A81">
        <w:rPr>
          <w:rFonts w:ascii="Times New Roman" w:hAnsi="Times New Roman"/>
        </w:rPr>
        <w:t xml:space="preserve"> Yang </w:t>
      </w:r>
      <w:r w:rsidRPr="004E4A81">
        <w:rPr>
          <w:rFonts w:ascii="Times New Roman" w:hAnsi="Times New Roman"/>
          <w:vertAlign w:val="superscript"/>
        </w:rPr>
        <w:t>1,2</w:t>
      </w:r>
      <w:r w:rsidRPr="004E4A81">
        <w:rPr>
          <w:rFonts w:ascii="Times New Roman" w:hAnsi="Times New Roman"/>
        </w:rPr>
        <w:t xml:space="preserve"> and </w:t>
      </w:r>
      <w:proofErr w:type="spellStart"/>
      <w:r w:rsidRPr="004E4A81">
        <w:rPr>
          <w:rFonts w:ascii="Times New Roman" w:hAnsi="Times New Roman"/>
        </w:rPr>
        <w:t>Huijun</w:t>
      </w:r>
      <w:proofErr w:type="spellEnd"/>
      <w:r w:rsidRPr="004E4A81">
        <w:rPr>
          <w:rFonts w:ascii="Times New Roman" w:hAnsi="Times New Roman"/>
        </w:rPr>
        <w:t xml:space="preserve"> Duan</w:t>
      </w:r>
      <w:r w:rsidRPr="004E4A81">
        <w:rPr>
          <w:rFonts w:ascii="Times New Roman" w:hAnsi="Times New Roman"/>
          <w:vertAlign w:val="superscript"/>
        </w:rPr>
        <w:t>1, 2,</w:t>
      </w:r>
      <w:r w:rsidRPr="004E4A81">
        <w:rPr>
          <w:rFonts w:ascii="Times New Roman" w:hAnsi="Times New Roman"/>
        </w:rPr>
        <w:t>*</w:t>
      </w:r>
    </w:p>
    <w:p w:rsidR="006E6E6D" w:rsidRDefault="006E6E6D" w:rsidP="006E6E6D">
      <w:pPr>
        <w:pStyle w:val="MDPI16affiliation"/>
        <w:rPr>
          <w:rFonts w:ascii="Times New Roman" w:hAnsi="Times New Roman"/>
          <w:color w:val="auto"/>
        </w:rPr>
      </w:pPr>
      <w:r w:rsidRPr="004E4A81">
        <w:rPr>
          <w:rFonts w:ascii="Times New Roman" w:hAnsi="Times New Roman"/>
          <w:vertAlign w:val="superscript"/>
        </w:rPr>
        <w:t>1</w:t>
      </w:r>
      <w:r w:rsidRPr="004E4A81">
        <w:rPr>
          <w:rFonts w:ascii="Times New Roman" w:hAnsi="Times New Roman"/>
        </w:rPr>
        <w:tab/>
        <w:t xml:space="preserve">Department of </w:t>
      </w:r>
      <w:r w:rsidRPr="004E4A81">
        <w:rPr>
          <w:rFonts w:ascii="Times New Roman" w:hAnsi="Times New Roman"/>
          <w:color w:val="auto"/>
        </w:rPr>
        <w:t xml:space="preserve">Crop Genetics and Breeding, College of Agronomy, </w:t>
      </w:r>
      <w:proofErr w:type="spellStart"/>
      <w:r w:rsidRPr="004E4A81">
        <w:rPr>
          <w:rFonts w:ascii="Times New Roman" w:hAnsi="Times New Roman"/>
          <w:color w:val="auto"/>
        </w:rPr>
        <w:t>Hebei</w:t>
      </w:r>
      <w:proofErr w:type="spellEnd"/>
      <w:r w:rsidRPr="004E4A81">
        <w:rPr>
          <w:rFonts w:ascii="Times New Roman" w:hAnsi="Times New Roman"/>
          <w:color w:val="auto"/>
        </w:rPr>
        <w:t xml:space="preserve"> Agricultural University, Baoding 071001, China</w:t>
      </w:r>
    </w:p>
    <w:p w:rsidR="006E6E6D" w:rsidRDefault="006E6E6D" w:rsidP="006E6E6D">
      <w:pPr>
        <w:pStyle w:val="MDPI16affiliation"/>
        <w:rPr>
          <w:rFonts w:ascii="Times New Roman" w:hAnsi="Times New Roman"/>
          <w:color w:val="auto"/>
        </w:rPr>
      </w:pPr>
    </w:p>
    <w:p w:rsidR="006E6E6D" w:rsidRDefault="006E6E6D" w:rsidP="006E6E6D">
      <w:pPr>
        <w:pStyle w:val="MDPI16affiliation"/>
        <w:rPr>
          <w:rFonts w:ascii="Times New Roman" w:hAnsi="Times New Roman"/>
        </w:rPr>
      </w:pPr>
      <w:r w:rsidRPr="004E4A81">
        <w:rPr>
          <w:rFonts w:ascii="Times New Roman" w:hAnsi="Times New Roman"/>
          <w:color w:val="auto"/>
          <w:vertAlign w:val="superscript"/>
        </w:rPr>
        <w:t>2</w:t>
      </w:r>
      <w:r w:rsidRPr="004E4A81">
        <w:rPr>
          <w:rFonts w:ascii="Times New Roman" w:hAnsi="Times New Roman"/>
          <w:color w:val="auto"/>
        </w:rPr>
        <w:tab/>
        <w:t xml:space="preserve">North China Key Laboratory for Crop </w:t>
      </w:r>
      <w:proofErr w:type="spellStart"/>
      <w:r w:rsidRPr="004E4A81">
        <w:rPr>
          <w:rFonts w:ascii="Times New Roman" w:hAnsi="Times New Roman"/>
          <w:color w:val="auto"/>
        </w:rPr>
        <w:t>Germplasm</w:t>
      </w:r>
      <w:proofErr w:type="spellEnd"/>
      <w:r w:rsidRPr="004E4A81">
        <w:rPr>
          <w:rFonts w:ascii="Times New Roman" w:hAnsi="Times New Roman"/>
          <w:color w:val="auto"/>
        </w:rPr>
        <w:t xml:space="preserve"> Resources of the Education Ministry, </w:t>
      </w:r>
      <w:proofErr w:type="spellStart"/>
      <w:r w:rsidRPr="004E4A81">
        <w:rPr>
          <w:rFonts w:ascii="Times New Roman" w:hAnsi="Times New Roman"/>
          <w:color w:val="auto"/>
        </w:rPr>
        <w:t>Hebei</w:t>
      </w:r>
      <w:proofErr w:type="spellEnd"/>
      <w:r w:rsidRPr="004E4A81">
        <w:rPr>
          <w:rFonts w:ascii="Times New Roman" w:hAnsi="Times New Roman"/>
          <w:color w:val="auto"/>
        </w:rPr>
        <w:t xml:space="preserve"> Agricultural </w:t>
      </w:r>
      <w:r>
        <w:rPr>
          <w:rFonts w:ascii="Times New Roman" w:hAnsi="Times New Roman"/>
          <w:color w:val="auto"/>
        </w:rPr>
        <w:t>U</w:t>
      </w:r>
      <w:r w:rsidRPr="004E4A81">
        <w:rPr>
          <w:rFonts w:ascii="Times New Roman" w:hAnsi="Times New Roman"/>
          <w:color w:val="auto"/>
        </w:rPr>
        <w:t xml:space="preserve">niversity, Baoding </w:t>
      </w:r>
      <w:r w:rsidRPr="004E4A81">
        <w:rPr>
          <w:rFonts w:ascii="Times New Roman" w:hAnsi="Times New Roman"/>
        </w:rPr>
        <w:t>071001, China</w:t>
      </w:r>
    </w:p>
    <w:p w:rsidR="006E6E6D" w:rsidRPr="004E4A81" w:rsidRDefault="006E6E6D" w:rsidP="006E6E6D">
      <w:pPr>
        <w:pStyle w:val="MDPI16affiliation"/>
        <w:rPr>
          <w:rFonts w:ascii="Times New Roman" w:hAnsi="Times New Roman"/>
        </w:rPr>
      </w:pPr>
    </w:p>
    <w:p w:rsidR="006E6E6D" w:rsidRDefault="006E6E6D" w:rsidP="006E6E6D">
      <w:pPr>
        <w:pStyle w:val="MDPI14history"/>
        <w:spacing w:before="0" w:line="240" w:lineRule="auto"/>
        <w:ind w:left="311" w:hanging="198"/>
        <w:rPr>
          <w:rFonts w:ascii="Times New Roman" w:hAnsi="Times New Roman"/>
        </w:rPr>
      </w:pPr>
      <w:r w:rsidRPr="004E4A81">
        <w:rPr>
          <w:rFonts w:ascii="Times New Roman" w:hAnsi="Times New Roman"/>
          <w:b/>
        </w:rPr>
        <w:t>*</w:t>
      </w:r>
      <w:r w:rsidRPr="004E4A81">
        <w:rPr>
          <w:rFonts w:ascii="Times New Roman" w:hAnsi="Times New Roman"/>
        </w:rPr>
        <w:tab/>
        <w:t>Correspond</w:t>
      </w:r>
      <w:r>
        <w:rPr>
          <w:rFonts w:ascii="Times New Roman" w:hAnsi="Times New Roman"/>
        </w:rPr>
        <w:t>ing Author</w:t>
      </w:r>
      <w:r w:rsidRPr="004E4A81">
        <w:rPr>
          <w:rFonts w:ascii="Times New Roman" w:hAnsi="Times New Roman"/>
        </w:rPr>
        <w:t>: hjduan@hebau.edu.cn; Tel.: +86-1393-1279-716</w:t>
      </w:r>
    </w:p>
    <w:p w:rsidR="006E6E6D" w:rsidRPr="008B7E0A" w:rsidRDefault="006E6E6D" w:rsidP="006E6E6D">
      <w:pPr>
        <w:rPr>
          <w:lang w:bidi="en-US"/>
        </w:rPr>
      </w:pPr>
    </w:p>
    <w:p w:rsidR="006E6E6D" w:rsidRPr="004E4A81" w:rsidRDefault="006E6E6D" w:rsidP="006E6E6D">
      <w:pPr>
        <w:pStyle w:val="MDPI14history"/>
        <w:spacing w:before="0" w:line="240" w:lineRule="auto"/>
        <w:ind w:left="311" w:hanging="198"/>
        <w:rPr>
          <w:rFonts w:ascii="Times New Roman" w:hAnsi="Times New Roman"/>
        </w:rPr>
      </w:pPr>
      <w:r w:rsidRPr="004E4A81">
        <w:rPr>
          <w:rFonts w:ascii="Times New Roman" w:hAnsi="Times New Roman"/>
          <w:b/>
          <w:vertAlign w:val="superscript"/>
        </w:rPr>
        <w:t>†</w:t>
      </w:r>
      <w:r w:rsidRPr="004E4A81">
        <w:rPr>
          <w:rFonts w:ascii="Times New Roman" w:hAnsi="Times New Roman"/>
        </w:rPr>
        <w:t xml:space="preserve"> </w:t>
      </w:r>
      <w:r w:rsidRPr="004E4A81">
        <w:rPr>
          <w:rFonts w:ascii="Times New Roman" w:hAnsi="Times New Roman"/>
        </w:rPr>
        <w:tab/>
        <w:t>These authors contributed equally to this work</w:t>
      </w:r>
    </w:p>
    <w:p w:rsidR="00030D60" w:rsidRPr="00030D60" w:rsidRDefault="00030D60" w:rsidP="00B42A96">
      <w:pPr>
        <w:spacing w:after="0" w:line="480" w:lineRule="auto"/>
        <w:jc w:val="center"/>
        <w:rPr>
          <w:rFonts w:ascii="Palatino Linotype" w:hAnsi="Palatino Linotype" w:cs="Times New Roman"/>
          <w:b/>
          <w:bCs/>
          <w:sz w:val="20"/>
          <w:szCs w:val="20"/>
          <w:lang w:val="en-US"/>
        </w:rPr>
      </w:pPr>
    </w:p>
    <w:p w:rsidR="00B42A96" w:rsidRPr="001D059A" w:rsidRDefault="00C10460" w:rsidP="00030D60">
      <w:pPr>
        <w:spacing w:after="0" w:line="480" w:lineRule="auto"/>
        <w:rPr>
          <w:rFonts w:ascii="Palatino Linotype" w:hAnsi="Palatino Linotype" w:cs="Times New Roman"/>
          <w:bCs/>
          <w:sz w:val="20"/>
          <w:szCs w:val="20"/>
        </w:rPr>
      </w:pPr>
      <w:proofErr w:type="gramStart"/>
      <w:r w:rsidRPr="00030D60">
        <w:rPr>
          <w:rFonts w:ascii="Palatino Linotype" w:hAnsi="Palatino Linotype" w:cs="Times New Roman"/>
          <w:b/>
          <w:bCs/>
          <w:sz w:val="20"/>
          <w:szCs w:val="20"/>
        </w:rPr>
        <w:t xml:space="preserve">Supplementary </w:t>
      </w:r>
      <w:r w:rsidR="00B42A96" w:rsidRPr="00030D60">
        <w:rPr>
          <w:rFonts w:ascii="Palatino Linotype" w:hAnsi="Palatino Linotype" w:cs="Times New Roman"/>
          <w:b/>
          <w:bCs/>
          <w:sz w:val="20"/>
          <w:szCs w:val="20"/>
        </w:rPr>
        <w:t xml:space="preserve">Table </w:t>
      </w:r>
      <w:r w:rsidR="00030D60" w:rsidRPr="00030D60">
        <w:rPr>
          <w:rFonts w:ascii="Palatino Linotype" w:hAnsi="Palatino Linotype" w:cs="Times New Roman"/>
          <w:b/>
          <w:bCs/>
          <w:sz w:val="20"/>
          <w:szCs w:val="20"/>
        </w:rPr>
        <w:t>11</w:t>
      </w:r>
      <w:r w:rsidRPr="00030D60">
        <w:rPr>
          <w:rFonts w:ascii="Palatino Linotype" w:hAnsi="Palatino Linotype" w:cs="Times New Roman"/>
          <w:b/>
          <w:bCs/>
          <w:sz w:val="20"/>
          <w:szCs w:val="20"/>
        </w:rPr>
        <w:t>.</w:t>
      </w:r>
      <w:proofErr w:type="gramEnd"/>
      <w:r>
        <w:rPr>
          <w:rFonts w:ascii="Palatino Linotype" w:hAnsi="Palatino Linotype" w:cs="Times New Roman"/>
          <w:bCs/>
          <w:sz w:val="20"/>
          <w:szCs w:val="20"/>
        </w:rPr>
        <w:t xml:space="preserve"> </w:t>
      </w:r>
      <w:r w:rsidR="00B42A96" w:rsidRPr="001D059A">
        <w:rPr>
          <w:rFonts w:ascii="Palatino Linotype" w:hAnsi="Palatino Linotype" w:cs="Times New Roman"/>
          <w:bCs/>
          <w:sz w:val="20"/>
          <w:szCs w:val="20"/>
        </w:rPr>
        <w:t xml:space="preserve"> Summary</w:t>
      </w:r>
      <w:r w:rsidR="00B42A96" w:rsidRPr="001D059A">
        <w:rPr>
          <w:rFonts w:ascii="Palatino Linotype" w:eastAsia="SimHei" w:hAnsi="Palatino Linotype" w:cs="Times New Roman"/>
          <w:kern w:val="22"/>
          <w:sz w:val="20"/>
          <w:szCs w:val="20"/>
        </w:rPr>
        <w:t xml:space="preserve"> of the functional annotation of assembled (differentially expressed genes) DEGs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1"/>
        <w:gridCol w:w="1815"/>
        <w:gridCol w:w="1162"/>
        <w:gridCol w:w="1418"/>
        <w:gridCol w:w="1275"/>
        <w:gridCol w:w="1418"/>
      </w:tblGrid>
      <w:tr w:rsidR="00B42A96" w:rsidRPr="00273B2E" w:rsidTr="00DE10D8">
        <w:trPr>
          <w:jc w:val="center"/>
        </w:trPr>
        <w:tc>
          <w:tcPr>
            <w:tcW w:w="1521" w:type="dxa"/>
            <w:tcBorders>
              <w:top w:val="single" w:sz="4" w:space="0" w:color="auto"/>
              <w:bottom w:val="single" w:sz="4" w:space="0" w:color="auto"/>
            </w:tcBorders>
          </w:tcPr>
          <w:p w:rsidR="00B42A96" w:rsidRPr="00273B2E" w:rsidRDefault="00B42A96" w:rsidP="007019B3">
            <w:pPr>
              <w:spacing w:line="360" w:lineRule="auto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Annotated Database</w:t>
            </w:r>
            <w:r w:rsidR="00DE10D8" w:rsidRPr="00DE10D8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New gene number</w:t>
            </w:r>
            <w:r w:rsidR="00DE10D8">
              <w:rPr>
                <w:rFonts w:ascii="Palatino Linotype" w:hAnsi="Palatino Linotype" w:cs="Times New Roman"/>
                <w:bCs/>
                <w:sz w:val="18"/>
                <w:szCs w:val="18"/>
              </w:rPr>
              <w:t xml:space="preserve"> </w:t>
            </w:r>
            <w:r w:rsidR="00DE10D8" w:rsidRPr="00DE10D8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TC_TD</w:t>
            </w:r>
            <w:r w:rsidR="00DE10D8">
              <w:rPr>
                <w:rFonts w:ascii="Palatino Linotype" w:hAnsi="Palatino Linotype" w:cs="Times New Roman"/>
                <w:bCs/>
                <w:sz w:val="18"/>
                <w:szCs w:val="18"/>
              </w:rPr>
              <w:t xml:space="preserve"> </w:t>
            </w:r>
            <w:r w:rsidR="00DE10D8" w:rsidRPr="00DE10D8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SC_SD</w:t>
            </w:r>
            <w:r w:rsidR="00DE10D8">
              <w:rPr>
                <w:rFonts w:ascii="Palatino Linotype" w:hAnsi="Palatino Linotype" w:cs="Times New Roman"/>
                <w:bCs/>
                <w:sz w:val="18"/>
                <w:szCs w:val="18"/>
              </w:rPr>
              <w:t xml:space="preserve"> </w:t>
            </w:r>
            <w:r w:rsidR="00DE10D8" w:rsidRPr="00DE10D8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TC_SC</w:t>
            </w:r>
            <w:r w:rsidR="00DE10D8">
              <w:rPr>
                <w:rFonts w:ascii="Palatino Linotype" w:hAnsi="Palatino Linotype" w:cs="Times New Roman"/>
                <w:bCs/>
                <w:sz w:val="18"/>
                <w:szCs w:val="18"/>
              </w:rPr>
              <w:t xml:space="preserve"> </w:t>
            </w:r>
            <w:r w:rsidR="00DE10D8" w:rsidRPr="00DE10D8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TD_SD</w:t>
            </w:r>
            <w:r w:rsidR="00DE10D8">
              <w:rPr>
                <w:rFonts w:ascii="Palatino Linotype" w:hAnsi="Palatino Linotype" w:cs="Times New Roman"/>
                <w:bCs/>
                <w:sz w:val="18"/>
                <w:szCs w:val="18"/>
              </w:rPr>
              <w:t xml:space="preserve"> </w:t>
            </w:r>
            <w:r w:rsidR="00DE10D8" w:rsidRPr="00DE10D8">
              <w:rPr>
                <w:rFonts w:ascii="Palatino Linotype" w:hAnsi="Palatino Linotype" w:cs="Times New Roman"/>
                <w:bCs/>
                <w:sz w:val="18"/>
                <w:szCs w:val="18"/>
                <w:vertAlign w:val="superscript"/>
              </w:rPr>
              <w:t>6</w:t>
            </w:r>
          </w:p>
        </w:tc>
      </w:tr>
      <w:tr w:rsidR="00B42A96" w:rsidRPr="00273B2E" w:rsidTr="00DE10D8">
        <w:trPr>
          <w:jc w:val="center"/>
        </w:trPr>
        <w:tc>
          <w:tcPr>
            <w:tcW w:w="1521" w:type="dxa"/>
            <w:tcBorders>
              <w:top w:val="single" w:sz="4" w:space="0" w:color="auto"/>
            </w:tcBorders>
          </w:tcPr>
          <w:p w:rsidR="00B42A96" w:rsidRPr="00273B2E" w:rsidRDefault="00B42A96" w:rsidP="007019B3">
            <w:pPr>
              <w:spacing w:line="360" w:lineRule="auto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COG</w:t>
            </w:r>
          </w:p>
        </w:tc>
        <w:tc>
          <w:tcPr>
            <w:tcW w:w="1815" w:type="dxa"/>
            <w:tcBorders>
              <w:top w:val="single" w:sz="4" w:space="0" w:color="auto"/>
            </w:tcBorders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131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293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1342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1702</w:t>
            </w:r>
          </w:p>
        </w:tc>
      </w:tr>
      <w:tr w:rsidR="00B42A96" w:rsidRPr="00273B2E" w:rsidTr="00DE10D8">
        <w:trPr>
          <w:jc w:val="center"/>
        </w:trPr>
        <w:tc>
          <w:tcPr>
            <w:tcW w:w="1521" w:type="dxa"/>
          </w:tcPr>
          <w:p w:rsidR="00B42A96" w:rsidRPr="00273B2E" w:rsidRDefault="00B42A96" w:rsidP="007019B3">
            <w:pPr>
              <w:spacing w:line="360" w:lineRule="auto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GO</w:t>
            </w:r>
          </w:p>
        </w:tc>
        <w:tc>
          <w:tcPr>
            <w:tcW w:w="1815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592</w:t>
            </w:r>
          </w:p>
        </w:tc>
        <w:tc>
          <w:tcPr>
            <w:tcW w:w="1162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106</w:t>
            </w:r>
          </w:p>
        </w:tc>
        <w:tc>
          <w:tcPr>
            <w:tcW w:w="1418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649</w:t>
            </w:r>
          </w:p>
        </w:tc>
        <w:tc>
          <w:tcPr>
            <w:tcW w:w="1275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3097</w:t>
            </w:r>
          </w:p>
        </w:tc>
        <w:tc>
          <w:tcPr>
            <w:tcW w:w="1418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3965</w:t>
            </w:r>
          </w:p>
        </w:tc>
      </w:tr>
      <w:tr w:rsidR="00B42A96" w:rsidRPr="00273B2E" w:rsidTr="00DE10D8">
        <w:trPr>
          <w:jc w:val="center"/>
        </w:trPr>
        <w:tc>
          <w:tcPr>
            <w:tcW w:w="1521" w:type="dxa"/>
          </w:tcPr>
          <w:p w:rsidR="00B42A96" w:rsidRPr="00273B2E" w:rsidRDefault="00B42A96" w:rsidP="007019B3">
            <w:pPr>
              <w:spacing w:line="360" w:lineRule="auto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KEGG</w:t>
            </w:r>
          </w:p>
        </w:tc>
        <w:tc>
          <w:tcPr>
            <w:tcW w:w="1815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167</w:t>
            </w:r>
          </w:p>
        </w:tc>
        <w:tc>
          <w:tcPr>
            <w:tcW w:w="1162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42</w:t>
            </w:r>
          </w:p>
        </w:tc>
        <w:tc>
          <w:tcPr>
            <w:tcW w:w="1418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263</w:t>
            </w:r>
          </w:p>
        </w:tc>
        <w:tc>
          <w:tcPr>
            <w:tcW w:w="1275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1131</w:t>
            </w:r>
          </w:p>
        </w:tc>
        <w:tc>
          <w:tcPr>
            <w:tcW w:w="1418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1486</w:t>
            </w:r>
          </w:p>
        </w:tc>
      </w:tr>
      <w:tr w:rsidR="00B42A96" w:rsidRPr="00273B2E" w:rsidTr="00DE10D8">
        <w:trPr>
          <w:jc w:val="center"/>
        </w:trPr>
        <w:tc>
          <w:tcPr>
            <w:tcW w:w="1521" w:type="dxa"/>
          </w:tcPr>
          <w:p w:rsidR="00B42A96" w:rsidRPr="00273B2E" w:rsidRDefault="00B42A96" w:rsidP="007019B3">
            <w:pPr>
              <w:spacing w:line="360" w:lineRule="auto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Swiss-Port</w:t>
            </w:r>
          </w:p>
        </w:tc>
        <w:tc>
          <w:tcPr>
            <w:tcW w:w="1815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390</w:t>
            </w:r>
          </w:p>
        </w:tc>
        <w:tc>
          <w:tcPr>
            <w:tcW w:w="1162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98</w:t>
            </w:r>
          </w:p>
        </w:tc>
        <w:tc>
          <w:tcPr>
            <w:tcW w:w="1418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570</w:t>
            </w:r>
          </w:p>
        </w:tc>
        <w:tc>
          <w:tcPr>
            <w:tcW w:w="1275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2743</w:t>
            </w:r>
          </w:p>
        </w:tc>
        <w:tc>
          <w:tcPr>
            <w:tcW w:w="1418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3476</w:t>
            </w:r>
          </w:p>
        </w:tc>
      </w:tr>
      <w:tr w:rsidR="00B42A96" w:rsidRPr="00273B2E" w:rsidTr="00DE10D8">
        <w:trPr>
          <w:jc w:val="center"/>
        </w:trPr>
        <w:tc>
          <w:tcPr>
            <w:tcW w:w="1521" w:type="dxa"/>
          </w:tcPr>
          <w:p w:rsidR="00B42A96" w:rsidRPr="00273B2E" w:rsidRDefault="00B42A96" w:rsidP="007019B3">
            <w:pPr>
              <w:spacing w:line="360" w:lineRule="auto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proofErr w:type="spellStart"/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eggNOG</w:t>
            </w:r>
            <w:proofErr w:type="spellEnd"/>
          </w:p>
        </w:tc>
        <w:tc>
          <w:tcPr>
            <w:tcW w:w="1815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900</w:t>
            </w:r>
          </w:p>
        </w:tc>
        <w:tc>
          <w:tcPr>
            <w:tcW w:w="1162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124</w:t>
            </w:r>
          </w:p>
        </w:tc>
        <w:tc>
          <w:tcPr>
            <w:tcW w:w="1418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736</w:t>
            </w:r>
          </w:p>
        </w:tc>
        <w:tc>
          <w:tcPr>
            <w:tcW w:w="1275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3831</w:t>
            </w:r>
          </w:p>
        </w:tc>
        <w:tc>
          <w:tcPr>
            <w:tcW w:w="1418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4853</w:t>
            </w:r>
          </w:p>
        </w:tc>
      </w:tr>
      <w:tr w:rsidR="00B42A96" w:rsidRPr="00273B2E" w:rsidTr="00DE10D8">
        <w:trPr>
          <w:jc w:val="center"/>
        </w:trPr>
        <w:tc>
          <w:tcPr>
            <w:tcW w:w="1521" w:type="dxa"/>
          </w:tcPr>
          <w:p w:rsidR="00B42A96" w:rsidRPr="00273B2E" w:rsidRDefault="00B42A96" w:rsidP="007019B3">
            <w:pPr>
              <w:spacing w:line="360" w:lineRule="auto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NR</w:t>
            </w:r>
          </w:p>
        </w:tc>
        <w:tc>
          <w:tcPr>
            <w:tcW w:w="1815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1602</w:t>
            </w:r>
          </w:p>
        </w:tc>
        <w:tc>
          <w:tcPr>
            <w:tcW w:w="1162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126</w:t>
            </w:r>
          </w:p>
        </w:tc>
        <w:tc>
          <w:tcPr>
            <w:tcW w:w="1418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746</w:t>
            </w:r>
          </w:p>
        </w:tc>
        <w:tc>
          <w:tcPr>
            <w:tcW w:w="1275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4232</w:t>
            </w:r>
          </w:p>
        </w:tc>
        <w:tc>
          <w:tcPr>
            <w:tcW w:w="1418" w:type="dxa"/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5287</w:t>
            </w:r>
          </w:p>
        </w:tc>
      </w:tr>
      <w:tr w:rsidR="00B42A96" w:rsidRPr="00273B2E" w:rsidTr="00DE10D8">
        <w:trPr>
          <w:jc w:val="center"/>
        </w:trPr>
        <w:tc>
          <w:tcPr>
            <w:tcW w:w="1521" w:type="dxa"/>
            <w:tcBorders>
              <w:bottom w:val="single" w:sz="4" w:space="0" w:color="auto"/>
            </w:tcBorders>
          </w:tcPr>
          <w:p w:rsidR="00B42A96" w:rsidRPr="00273B2E" w:rsidRDefault="00B42A96" w:rsidP="007019B3">
            <w:pPr>
              <w:spacing w:line="360" w:lineRule="auto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All</w:t>
            </w: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1618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128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746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4240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42A96" w:rsidRPr="00273B2E" w:rsidRDefault="00B42A96" w:rsidP="007019B3">
            <w:pPr>
              <w:spacing w:line="360" w:lineRule="auto"/>
              <w:jc w:val="center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73B2E">
              <w:rPr>
                <w:rFonts w:ascii="Palatino Linotype" w:hAnsi="Palatino Linotype" w:cs="Times New Roman"/>
                <w:bCs/>
                <w:sz w:val="18"/>
                <w:szCs w:val="18"/>
              </w:rPr>
              <w:t>5294</w:t>
            </w:r>
          </w:p>
        </w:tc>
      </w:tr>
    </w:tbl>
    <w:p w:rsidR="00BC7459" w:rsidRDefault="00BC7459" w:rsidP="00B42A96">
      <w:pPr>
        <w:widowControl w:val="0"/>
        <w:spacing w:after="0" w:line="240" w:lineRule="auto"/>
        <w:jc w:val="both"/>
        <w:rPr>
          <w:rFonts w:ascii="Palatino Linotype" w:hAnsi="Palatino Linotype" w:cs="Times New Roman"/>
          <w:bCs/>
          <w:sz w:val="20"/>
          <w:szCs w:val="20"/>
        </w:rPr>
      </w:pPr>
    </w:p>
    <w:p w:rsidR="00B42A96" w:rsidRPr="00273B2E" w:rsidRDefault="00BC7459" w:rsidP="00B42A96">
      <w:pPr>
        <w:widowControl w:val="0"/>
        <w:spacing w:after="0" w:line="240" w:lineRule="auto"/>
        <w:jc w:val="both"/>
        <w:rPr>
          <w:rFonts w:ascii="Palatino Linotype" w:hAnsi="Palatino Linotype" w:cs="Times New Roman"/>
          <w:bCs/>
          <w:sz w:val="18"/>
          <w:szCs w:val="18"/>
        </w:rPr>
      </w:pPr>
      <w:r w:rsidRPr="00BC7459">
        <w:rPr>
          <w:rFonts w:ascii="Palatino Linotype" w:hAnsi="Palatino Linotype" w:cs="Times New Roman"/>
          <w:bCs/>
          <w:sz w:val="18"/>
          <w:szCs w:val="18"/>
          <w:vertAlign w:val="superscript"/>
        </w:rPr>
        <w:t>1</w:t>
      </w:r>
      <w:r w:rsidR="00B42A96" w:rsidRPr="00273B2E">
        <w:rPr>
          <w:rFonts w:ascii="Palatino Linotype" w:hAnsi="Palatino Linotype" w:cs="Times New Roman"/>
          <w:bCs/>
          <w:sz w:val="18"/>
          <w:szCs w:val="18"/>
        </w:rPr>
        <w:t xml:space="preserve"> Annotated database, the database used for functional annotation; </w:t>
      </w:r>
      <w:r w:rsidRPr="00BC7459">
        <w:rPr>
          <w:rFonts w:ascii="Palatino Linotype" w:hAnsi="Palatino Linotype" w:cs="Times New Roman"/>
          <w:bCs/>
          <w:sz w:val="18"/>
          <w:szCs w:val="18"/>
          <w:vertAlign w:val="superscript"/>
        </w:rPr>
        <w:t>2</w:t>
      </w:r>
      <w:r>
        <w:rPr>
          <w:rFonts w:ascii="Palatino Linotype" w:hAnsi="Palatino Linotype" w:cs="Times New Roman"/>
          <w:bCs/>
          <w:sz w:val="18"/>
          <w:szCs w:val="18"/>
        </w:rPr>
        <w:t xml:space="preserve"> </w:t>
      </w:r>
      <w:r w:rsidR="00B42A96" w:rsidRPr="00273B2E">
        <w:rPr>
          <w:rFonts w:ascii="Palatino Linotype" w:hAnsi="Palatino Linotype" w:cs="Times New Roman"/>
          <w:bCs/>
          <w:sz w:val="18"/>
          <w:szCs w:val="18"/>
        </w:rPr>
        <w:t xml:space="preserve">New gene number, the number of novel genes predicted by the corresponding database`s annotation information; </w:t>
      </w:r>
      <w:r w:rsidRPr="00BC7459">
        <w:rPr>
          <w:rFonts w:ascii="Palatino Linotype" w:hAnsi="Palatino Linotype" w:cs="Times New Roman"/>
          <w:bCs/>
          <w:sz w:val="18"/>
          <w:szCs w:val="18"/>
          <w:vertAlign w:val="superscript"/>
        </w:rPr>
        <w:t>3</w:t>
      </w:r>
      <w:r>
        <w:rPr>
          <w:rFonts w:ascii="Palatino Linotype" w:hAnsi="Palatino Linotype" w:cs="Times New Roman"/>
          <w:bCs/>
          <w:sz w:val="18"/>
          <w:szCs w:val="18"/>
        </w:rPr>
        <w:t xml:space="preserve"> </w:t>
      </w:r>
      <w:r w:rsidR="00B42A96" w:rsidRPr="00273B2E">
        <w:rPr>
          <w:rFonts w:ascii="Palatino Linotype" w:hAnsi="Palatino Linotype" w:cs="Times New Roman"/>
          <w:bCs/>
          <w:sz w:val="18"/>
          <w:szCs w:val="18"/>
        </w:rPr>
        <w:t xml:space="preserve">TC_TD, </w:t>
      </w:r>
      <w:r w:rsidRPr="00BC7459">
        <w:rPr>
          <w:rFonts w:ascii="Palatino Linotype" w:hAnsi="Palatino Linotype" w:cs="Times New Roman"/>
          <w:bCs/>
          <w:sz w:val="18"/>
          <w:szCs w:val="18"/>
          <w:vertAlign w:val="superscript"/>
        </w:rPr>
        <w:t>4</w:t>
      </w:r>
      <w:r>
        <w:rPr>
          <w:rFonts w:ascii="Palatino Linotype" w:hAnsi="Palatino Linotype" w:cs="Times New Roman"/>
          <w:bCs/>
          <w:sz w:val="18"/>
          <w:szCs w:val="18"/>
        </w:rPr>
        <w:t xml:space="preserve"> </w:t>
      </w:r>
      <w:r w:rsidR="00B42A96" w:rsidRPr="00273B2E">
        <w:rPr>
          <w:rFonts w:ascii="Palatino Linotype" w:hAnsi="Palatino Linotype" w:cs="Times New Roman"/>
          <w:bCs/>
          <w:sz w:val="18"/>
          <w:szCs w:val="18"/>
        </w:rPr>
        <w:t xml:space="preserve">SC_SD: tolerant and sensitive lines before and after drought treatment, respectively; </w:t>
      </w:r>
      <w:r w:rsidRPr="00BC7459">
        <w:rPr>
          <w:rFonts w:ascii="Palatino Linotype" w:hAnsi="Palatino Linotype" w:cs="Times New Roman"/>
          <w:bCs/>
          <w:sz w:val="18"/>
          <w:szCs w:val="18"/>
          <w:vertAlign w:val="superscript"/>
        </w:rPr>
        <w:t>5</w:t>
      </w:r>
      <w:r>
        <w:rPr>
          <w:rFonts w:ascii="Palatino Linotype" w:hAnsi="Palatino Linotype" w:cs="Times New Roman"/>
          <w:bCs/>
          <w:sz w:val="18"/>
          <w:szCs w:val="18"/>
        </w:rPr>
        <w:t xml:space="preserve"> </w:t>
      </w:r>
      <w:r w:rsidR="00B42A96" w:rsidRPr="00273B2E">
        <w:rPr>
          <w:rFonts w:ascii="Palatino Linotype" w:hAnsi="Palatino Linotype" w:cs="Times New Roman"/>
          <w:bCs/>
          <w:sz w:val="18"/>
          <w:szCs w:val="18"/>
        </w:rPr>
        <w:t xml:space="preserve">TC_SC, </w:t>
      </w:r>
      <w:r w:rsidRPr="00BC7459">
        <w:rPr>
          <w:rFonts w:ascii="Palatino Linotype" w:hAnsi="Palatino Linotype" w:cs="Times New Roman"/>
          <w:bCs/>
          <w:sz w:val="18"/>
          <w:szCs w:val="18"/>
          <w:vertAlign w:val="superscript"/>
        </w:rPr>
        <w:t>6</w:t>
      </w:r>
      <w:r>
        <w:rPr>
          <w:rFonts w:ascii="Palatino Linotype" w:hAnsi="Palatino Linotype" w:cs="Times New Roman"/>
          <w:bCs/>
          <w:sz w:val="18"/>
          <w:szCs w:val="18"/>
        </w:rPr>
        <w:t xml:space="preserve"> </w:t>
      </w:r>
      <w:r w:rsidR="00B42A96" w:rsidRPr="00273B2E">
        <w:rPr>
          <w:rFonts w:ascii="Palatino Linotype" w:hAnsi="Palatino Linotype" w:cs="Times New Roman"/>
          <w:bCs/>
          <w:sz w:val="18"/>
          <w:szCs w:val="18"/>
        </w:rPr>
        <w:t xml:space="preserve">TD_SD: tolerant and sensitive lines under water sufficient condition and water shortage condition, </w:t>
      </w:r>
      <w:r>
        <w:rPr>
          <w:rFonts w:ascii="Palatino Linotype" w:hAnsi="Palatino Linotype" w:cs="Times New Roman"/>
          <w:bCs/>
          <w:sz w:val="18"/>
          <w:szCs w:val="18"/>
        </w:rPr>
        <w:t>respectively.</w:t>
      </w:r>
      <w:r w:rsidR="00B42A96" w:rsidRPr="00273B2E">
        <w:rPr>
          <w:rFonts w:ascii="Palatino Linotype" w:hAnsi="Palatino Linotype" w:cs="Times New Roman"/>
          <w:bCs/>
          <w:sz w:val="18"/>
          <w:szCs w:val="18"/>
        </w:rPr>
        <w:t xml:space="preserve"> The third column to the last represents the number of DEGs that are annotated by the functional database; COG, clusters of orthologous groups; GO, gene ontology; KEGG, the Kyoto </w:t>
      </w:r>
      <w:proofErr w:type="spellStart"/>
      <w:r w:rsidR="00B42A96" w:rsidRPr="00273B2E">
        <w:rPr>
          <w:rFonts w:ascii="Palatino Linotype" w:hAnsi="Palatino Linotype" w:cs="Times New Roman"/>
          <w:bCs/>
          <w:sz w:val="18"/>
          <w:szCs w:val="18"/>
        </w:rPr>
        <w:t>encyclopedia</w:t>
      </w:r>
      <w:proofErr w:type="spellEnd"/>
      <w:r w:rsidR="00B42A96" w:rsidRPr="00273B2E">
        <w:rPr>
          <w:rFonts w:ascii="Palatino Linotype" w:hAnsi="Palatino Linotype" w:cs="Times New Roman"/>
          <w:bCs/>
          <w:sz w:val="18"/>
          <w:szCs w:val="18"/>
        </w:rPr>
        <w:t xml:space="preserve"> of genes and genomics; Swiss-</w:t>
      </w:r>
      <w:proofErr w:type="spellStart"/>
      <w:r w:rsidR="00B42A96" w:rsidRPr="00273B2E">
        <w:rPr>
          <w:rFonts w:ascii="Palatino Linotype" w:hAnsi="Palatino Linotype" w:cs="Times New Roman"/>
          <w:bCs/>
          <w:sz w:val="18"/>
          <w:szCs w:val="18"/>
        </w:rPr>
        <w:t>Prot</w:t>
      </w:r>
      <w:proofErr w:type="spellEnd"/>
      <w:r w:rsidR="00B42A96" w:rsidRPr="00273B2E">
        <w:rPr>
          <w:rFonts w:ascii="Palatino Linotype" w:hAnsi="Palatino Linotype" w:cs="Times New Roman"/>
          <w:bCs/>
          <w:sz w:val="18"/>
          <w:szCs w:val="18"/>
        </w:rPr>
        <w:t xml:space="preserve">, a manually annotated protein sequence database; </w:t>
      </w:r>
      <w:proofErr w:type="spellStart"/>
      <w:r w:rsidR="00B42A96" w:rsidRPr="00273B2E">
        <w:rPr>
          <w:rFonts w:ascii="Palatino Linotype" w:hAnsi="Palatino Linotype" w:cs="Times New Roman"/>
          <w:bCs/>
          <w:sz w:val="18"/>
          <w:szCs w:val="18"/>
        </w:rPr>
        <w:t>eggNOG</w:t>
      </w:r>
      <w:proofErr w:type="spellEnd"/>
      <w:r w:rsidR="00B42A96" w:rsidRPr="00273B2E">
        <w:rPr>
          <w:rFonts w:ascii="Palatino Linotype" w:hAnsi="Palatino Linotype" w:cs="Times New Roman"/>
          <w:bCs/>
          <w:sz w:val="18"/>
          <w:szCs w:val="18"/>
        </w:rPr>
        <w:t>, evolutionary genealogy of genes: Non-supervised orthologous groups; NR, non-redundant protein sequence; All, the total of differentially expressed genes in the data set/comparison group.</w:t>
      </w:r>
    </w:p>
    <w:p w:rsidR="00B42A96" w:rsidRPr="00273B2E" w:rsidRDefault="00B42A96" w:rsidP="00B42A96">
      <w:pPr>
        <w:spacing w:after="0" w:line="480" w:lineRule="auto"/>
        <w:jc w:val="both"/>
        <w:rPr>
          <w:rFonts w:ascii="Palatino Linotype" w:hAnsi="Palatino Linotype" w:cs="Times New Roman"/>
          <w:b/>
          <w:bCs/>
          <w:sz w:val="18"/>
          <w:szCs w:val="18"/>
          <w:highlight w:val="green"/>
        </w:rPr>
      </w:pPr>
    </w:p>
    <w:p w:rsidR="009E5F94" w:rsidRPr="00B42A96" w:rsidRDefault="009E5F94" w:rsidP="009E5F94">
      <w:pPr>
        <w:pStyle w:val="NormalWeb"/>
        <w:spacing w:beforeAutospacing="0" w:afterAutospacing="0" w:line="240" w:lineRule="auto"/>
        <w:ind w:firstLine="720"/>
        <w:jc w:val="both"/>
        <w:rPr>
          <w:rFonts w:ascii="Palatino Linotype" w:eastAsia="Times New Roman" w:hAnsi="Palatino Linotype"/>
          <w:snapToGrid w:val="0"/>
          <w:sz w:val="20"/>
          <w:szCs w:val="22"/>
          <w:lang w:val="en-GB" w:eastAsia="de-DE" w:bidi="en-US"/>
        </w:rPr>
      </w:pPr>
    </w:p>
    <w:p w:rsidR="009E5F94" w:rsidRPr="009E5F94" w:rsidRDefault="009E5F94" w:rsidP="009E5F94">
      <w:pPr>
        <w:pStyle w:val="NormalWeb"/>
        <w:spacing w:beforeAutospacing="0" w:afterAutospacing="0" w:line="240" w:lineRule="auto"/>
        <w:ind w:firstLine="720"/>
        <w:jc w:val="both"/>
        <w:rPr>
          <w:rFonts w:ascii="Palatino Linotype" w:eastAsia="Times New Roman" w:hAnsi="Palatino Linotype"/>
          <w:snapToGrid w:val="0"/>
          <w:sz w:val="20"/>
          <w:szCs w:val="22"/>
          <w:lang w:eastAsia="de-DE" w:bidi="en-US"/>
        </w:rPr>
      </w:pPr>
    </w:p>
    <w:p w:rsidR="003F049A" w:rsidRDefault="003F049A"/>
    <w:sectPr w:rsidR="003F04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177" w:rsidRDefault="00B72177" w:rsidP="00CC4591">
      <w:pPr>
        <w:spacing w:after="0" w:line="240" w:lineRule="auto"/>
      </w:pPr>
      <w:r>
        <w:separator/>
      </w:r>
    </w:p>
  </w:endnote>
  <w:endnote w:type="continuationSeparator" w:id="0">
    <w:p w:rsidR="00B72177" w:rsidRDefault="00B72177" w:rsidP="00CC4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177" w:rsidRDefault="00B72177" w:rsidP="00CC4591">
      <w:pPr>
        <w:spacing w:after="0" w:line="240" w:lineRule="auto"/>
      </w:pPr>
      <w:r>
        <w:separator/>
      </w:r>
    </w:p>
  </w:footnote>
  <w:footnote w:type="continuationSeparator" w:id="0">
    <w:p w:rsidR="00B72177" w:rsidRDefault="00B72177" w:rsidP="00CC45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9A"/>
    <w:rsid w:val="000074B3"/>
    <w:rsid w:val="00030D60"/>
    <w:rsid w:val="000D41C9"/>
    <w:rsid w:val="001A12D1"/>
    <w:rsid w:val="001A7140"/>
    <w:rsid w:val="001E77F5"/>
    <w:rsid w:val="002758EF"/>
    <w:rsid w:val="00354477"/>
    <w:rsid w:val="003F049A"/>
    <w:rsid w:val="00401871"/>
    <w:rsid w:val="00452F15"/>
    <w:rsid w:val="004612C6"/>
    <w:rsid w:val="004E2A2C"/>
    <w:rsid w:val="00527ED9"/>
    <w:rsid w:val="00543D0E"/>
    <w:rsid w:val="005613EF"/>
    <w:rsid w:val="00563911"/>
    <w:rsid w:val="0065088F"/>
    <w:rsid w:val="006E0FC9"/>
    <w:rsid w:val="006E6E6D"/>
    <w:rsid w:val="006F1B9A"/>
    <w:rsid w:val="007435DC"/>
    <w:rsid w:val="0078793C"/>
    <w:rsid w:val="007C78F9"/>
    <w:rsid w:val="007D19AF"/>
    <w:rsid w:val="00815795"/>
    <w:rsid w:val="00836943"/>
    <w:rsid w:val="00840FED"/>
    <w:rsid w:val="00897296"/>
    <w:rsid w:val="009E5F94"/>
    <w:rsid w:val="009F4558"/>
    <w:rsid w:val="009F67F7"/>
    <w:rsid w:val="00A10902"/>
    <w:rsid w:val="00A24A37"/>
    <w:rsid w:val="00B142A7"/>
    <w:rsid w:val="00B42A96"/>
    <w:rsid w:val="00B56E17"/>
    <w:rsid w:val="00B72177"/>
    <w:rsid w:val="00B82D4F"/>
    <w:rsid w:val="00BC7459"/>
    <w:rsid w:val="00BC75FC"/>
    <w:rsid w:val="00C049EE"/>
    <w:rsid w:val="00C07E7C"/>
    <w:rsid w:val="00C10460"/>
    <w:rsid w:val="00C23602"/>
    <w:rsid w:val="00C971FC"/>
    <w:rsid w:val="00C97418"/>
    <w:rsid w:val="00CB12C9"/>
    <w:rsid w:val="00CC4591"/>
    <w:rsid w:val="00CC649F"/>
    <w:rsid w:val="00CD44E2"/>
    <w:rsid w:val="00D3197F"/>
    <w:rsid w:val="00D70F4D"/>
    <w:rsid w:val="00DB6BD3"/>
    <w:rsid w:val="00DE10D8"/>
    <w:rsid w:val="00DE478F"/>
    <w:rsid w:val="00E27399"/>
    <w:rsid w:val="00ED54EF"/>
    <w:rsid w:val="00EE48BA"/>
    <w:rsid w:val="00F04068"/>
    <w:rsid w:val="00F5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A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qFormat/>
    <w:rsid w:val="007C78F9"/>
    <w:pPr>
      <w:spacing w:beforeAutospacing="1" w:after="0" w:afterAutospacing="1" w:line="259" w:lineRule="auto"/>
    </w:pPr>
    <w:rPr>
      <w:rFonts w:ascii="SimSun" w:hAnsi="SimSu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45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591"/>
  </w:style>
  <w:style w:type="paragraph" w:styleId="Footer">
    <w:name w:val="footer"/>
    <w:basedOn w:val="Normal"/>
    <w:link w:val="FooterChar"/>
    <w:uiPriority w:val="99"/>
    <w:unhideWhenUsed/>
    <w:rsid w:val="00CC45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591"/>
  </w:style>
  <w:style w:type="paragraph" w:customStyle="1" w:styleId="MDPI31text">
    <w:name w:val="MDPI_3.1_text"/>
    <w:qFormat/>
    <w:rsid w:val="00CD44E2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basedOn w:val="Normal"/>
    <w:qFormat/>
    <w:rsid w:val="00CD44E2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51figurecaption">
    <w:name w:val="MDPI_5.1_figure_caption"/>
    <w:basedOn w:val="Normal"/>
    <w:qFormat/>
    <w:rsid w:val="00CD44E2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table" w:styleId="TableGrid">
    <w:name w:val="Table Grid"/>
    <w:basedOn w:val="TableNormal"/>
    <w:uiPriority w:val="59"/>
    <w:rsid w:val="00B42A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11articletype">
    <w:name w:val="MDPI_1.1_article_type"/>
    <w:basedOn w:val="MDPI31text"/>
    <w:next w:val="MDPI12title"/>
    <w:qFormat/>
    <w:rsid w:val="00030D60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030D60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030D60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Normal"/>
    <w:next w:val="Normal"/>
    <w:qFormat/>
    <w:rsid w:val="00030D60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030D60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character" w:styleId="Hyperlink">
    <w:name w:val="Hyperlink"/>
    <w:uiPriority w:val="99"/>
    <w:unhideWhenUsed/>
    <w:rsid w:val="00030D6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A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qFormat/>
    <w:rsid w:val="007C78F9"/>
    <w:pPr>
      <w:spacing w:beforeAutospacing="1" w:after="0" w:afterAutospacing="1" w:line="259" w:lineRule="auto"/>
    </w:pPr>
    <w:rPr>
      <w:rFonts w:ascii="SimSun" w:hAnsi="SimSu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45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591"/>
  </w:style>
  <w:style w:type="paragraph" w:styleId="Footer">
    <w:name w:val="footer"/>
    <w:basedOn w:val="Normal"/>
    <w:link w:val="FooterChar"/>
    <w:uiPriority w:val="99"/>
    <w:unhideWhenUsed/>
    <w:rsid w:val="00CC45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591"/>
  </w:style>
  <w:style w:type="paragraph" w:customStyle="1" w:styleId="MDPI31text">
    <w:name w:val="MDPI_3.1_text"/>
    <w:qFormat/>
    <w:rsid w:val="00CD44E2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basedOn w:val="Normal"/>
    <w:qFormat/>
    <w:rsid w:val="00CD44E2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51figurecaption">
    <w:name w:val="MDPI_5.1_figure_caption"/>
    <w:basedOn w:val="Normal"/>
    <w:qFormat/>
    <w:rsid w:val="00CD44E2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table" w:styleId="TableGrid">
    <w:name w:val="Table Grid"/>
    <w:basedOn w:val="TableNormal"/>
    <w:uiPriority w:val="59"/>
    <w:rsid w:val="00B42A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11articletype">
    <w:name w:val="MDPI_1.1_article_type"/>
    <w:basedOn w:val="MDPI31text"/>
    <w:next w:val="MDPI12title"/>
    <w:qFormat/>
    <w:rsid w:val="00030D60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030D60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030D60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Normal"/>
    <w:next w:val="Normal"/>
    <w:qFormat/>
    <w:rsid w:val="00030D60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030D60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character" w:styleId="Hyperlink">
    <w:name w:val="Hyperlink"/>
    <w:uiPriority w:val="99"/>
    <w:unhideWhenUsed/>
    <w:rsid w:val="00030D6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2018-11-07T05:35:00Z</dcterms:created>
  <dcterms:modified xsi:type="dcterms:W3CDTF">2019-01-31T10:58:00Z</dcterms:modified>
</cp:coreProperties>
</file>