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5E8" w:rsidRPr="00217F2D" w:rsidRDefault="00D105E8" w:rsidP="00D105E8">
      <w:pPr>
        <w:jc w:val="center"/>
        <w:rPr>
          <w:rFonts w:ascii="Palatino Linotype" w:hAnsi="Palatino Linotype"/>
        </w:rPr>
      </w:pPr>
      <w:r w:rsidRPr="00217F2D">
        <w:rPr>
          <w:rFonts w:ascii="Palatino Linotype" w:hAnsi="Palatino Linotype"/>
        </w:rPr>
        <w:t xml:space="preserve">Supplementary Table 1. The completeness estimation of predicted protein-coding sequences from transcriptome of </w:t>
      </w:r>
      <w:proofErr w:type="spellStart"/>
      <w:r w:rsidRPr="00217F2D">
        <w:rPr>
          <w:rFonts w:ascii="Palatino Linotype" w:hAnsi="Palatino Linotype"/>
        </w:rPr>
        <w:t>Yenyuan</w:t>
      </w:r>
      <w:proofErr w:type="spellEnd"/>
      <w:r w:rsidRPr="00217F2D">
        <w:rPr>
          <w:rFonts w:ascii="Palatino Linotype" w:hAnsi="Palatino Linotype"/>
        </w:rPr>
        <w:t xml:space="preserve"> stream salamanders </w:t>
      </w:r>
      <w:r w:rsidR="00C57B3B">
        <w:rPr>
          <w:rFonts w:ascii="Palatino Linotype" w:hAnsi="Palatino Linotype"/>
        </w:rPr>
        <w:t>by</w:t>
      </w:r>
      <w:r w:rsidRPr="00217F2D">
        <w:rPr>
          <w:rFonts w:ascii="Palatino Linotype" w:hAnsi="Palatino Linotype"/>
        </w:rPr>
        <w:t xml:space="preserve"> BUSCOs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18"/>
        <w:gridCol w:w="1680"/>
      </w:tblGrid>
      <w:tr w:rsidR="00D105E8" w:rsidRPr="00217F2D" w:rsidTr="00FA28BC">
        <w:trPr>
          <w:trHeight w:val="340"/>
          <w:jc w:val="center"/>
        </w:trPr>
        <w:tc>
          <w:tcPr>
            <w:tcW w:w="4111" w:type="dxa"/>
            <w:vAlign w:val="center"/>
          </w:tcPr>
          <w:p w:rsidR="00D105E8" w:rsidRPr="00217F2D" w:rsidRDefault="00D105E8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</w:pPr>
            <w:bookmarkStart w:id="0" w:name="OLE_LINK24"/>
            <w:bookmarkStart w:id="1" w:name="OLE_LINK25"/>
            <w:r w:rsidRPr="00217F2D"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  <w:t>Category</w:t>
            </w:r>
          </w:p>
        </w:tc>
        <w:tc>
          <w:tcPr>
            <w:tcW w:w="1518" w:type="dxa"/>
            <w:vAlign w:val="center"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BUSCOs hits</w:t>
            </w:r>
          </w:p>
        </w:tc>
        <w:tc>
          <w:tcPr>
            <w:tcW w:w="1680" w:type="dxa"/>
            <w:vAlign w:val="center"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% of Genome</w:t>
            </w:r>
          </w:p>
        </w:tc>
      </w:tr>
      <w:tr w:rsidR="00D105E8" w:rsidRPr="00217F2D" w:rsidTr="00FA28BC">
        <w:trPr>
          <w:trHeight w:val="340"/>
          <w:jc w:val="center"/>
        </w:trPr>
        <w:tc>
          <w:tcPr>
            <w:tcW w:w="4111" w:type="dxa"/>
            <w:vAlign w:val="center"/>
            <w:hideMark/>
          </w:tcPr>
          <w:p w:rsidR="00D105E8" w:rsidRPr="00217F2D" w:rsidRDefault="00D105E8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  <w:t>Complete BUSCOs (C)</w:t>
            </w:r>
          </w:p>
        </w:tc>
        <w:tc>
          <w:tcPr>
            <w:tcW w:w="1518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1,585</w:t>
            </w:r>
          </w:p>
        </w:tc>
        <w:tc>
          <w:tcPr>
            <w:tcW w:w="1680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40.1 %</w:t>
            </w:r>
          </w:p>
        </w:tc>
      </w:tr>
      <w:tr w:rsidR="00D105E8" w:rsidRPr="00217F2D" w:rsidTr="00FA28BC">
        <w:trPr>
          <w:trHeight w:val="269"/>
          <w:jc w:val="center"/>
        </w:trPr>
        <w:tc>
          <w:tcPr>
            <w:tcW w:w="4111" w:type="dxa"/>
            <w:vAlign w:val="center"/>
            <w:hideMark/>
          </w:tcPr>
          <w:p w:rsidR="00D105E8" w:rsidRPr="00217F2D" w:rsidRDefault="00D105E8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  <w:t>Complete and single-copy BUSCOs (S)</w:t>
            </w:r>
          </w:p>
        </w:tc>
        <w:tc>
          <w:tcPr>
            <w:tcW w:w="1518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1,299</w:t>
            </w:r>
          </w:p>
        </w:tc>
        <w:tc>
          <w:tcPr>
            <w:tcW w:w="1680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32.9 %</w:t>
            </w:r>
          </w:p>
        </w:tc>
      </w:tr>
      <w:tr w:rsidR="00D105E8" w:rsidRPr="00217F2D" w:rsidTr="00FA28BC">
        <w:trPr>
          <w:trHeight w:val="340"/>
          <w:jc w:val="center"/>
        </w:trPr>
        <w:tc>
          <w:tcPr>
            <w:tcW w:w="4111" w:type="dxa"/>
            <w:vAlign w:val="center"/>
            <w:hideMark/>
          </w:tcPr>
          <w:p w:rsidR="00D105E8" w:rsidRPr="00217F2D" w:rsidRDefault="00D105E8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  <w:t>Complete and duplicated BUSCOs (D)</w:t>
            </w:r>
          </w:p>
        </w:tc>
        <w:tc>
          <w:tcPr>
            <w:tcW w:w="1518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286</w:t>
            </w:r>
          </w:p>
        </w:tc>
        <w:tc>
          <w:tcPr>
            <w:tcW w:w="1680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7.2 %</w:t>
            </w:r>
          </w:p>
        </w:tc>
      </w:tr>
      <w:tr w:rsidR="00D105E8" w:rsidRPr="00217F2D" w:rsidTr="00FA28BC">
        <w:trPr>
          <w:trHeight w:val="340"/>
          <w:jc w:val="center"/>
        </w:trPr>
        <w:tc>
          <w:tcPr>
            <w:tcW w:w="4111" w:type="dxa"/>
            <w:vAlign w:val="center"/>
            <w:hideMark/>
          </w:tcPr>
          <w:p w:rsidR="00D105E8" w:rsidRPr="00217F2D" w:rsidRDefault="00D105E8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</w:rPr>
              <w:t>Fragmented BUSCOs (F)</w:t>
            </w:r>
          </w:p>
        </w:tc>
        <w:tc>
          <w:tcPr>
            <w:tcW w:w="1518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330</w:t>
            </w:r>
          </w:p>
        </w:tc>
        <w:tc>
          <w:tcPr>
            <w:tcW w:w="1680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8.4 %</w:t>
            </w:r>
          </w:p>
        </w:tc>
      </w:tr>
      <w:tr w:rsidR="00D105E8" w:rsidRPr="00217F2D" w:rsidTr="00FA28BC">
        <w:trPr>
          <w:trHeight w:val="340"/>
          <w:jc w:val="center"/>
        </w:trPr>
        <w:tc>
          <w:tcPr>
            <w:tcW w:w="4111" w:type="dxa"/>
            <w:vAlign w:val="center"/>
            <w:hideMark/>
          </w:tcPr>
          <w:p w:rsidR="00D105E8" w:rsidRPr="00217F2D" w:rsidRDefault="00D105E8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</w:rPr>
              <w:t>Missing BUSCOs (M)</w:t>
            </w:r>
          </w:p>
        </w:tc>
        <w:tc>
          <w:tcPr>
            <w:tcW w:w="1518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2,035</w:t>
            </w:r>
          </w:p>
        </w:tc>
        <w:tc>
          <w:tcPr>
            <w:tcW w:w="1680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51.5 %</w:t>
            </w:r>
          </w:p>
        </w:tc>
      </w:tr>
      <w:tr w:rsidR="00D105E8" w:rsidRPr="00217F2D" w:rsidTr="00FA28BC">
        <w:trPr>
          <w:trHeight w:val="340"/>
          <w:jc w:val="center"/>
        </w:trPr>
        <w:tc>
          <w:tcPr>
            <w:tcW w:w="4111" w:type="dxa"/>
            <w:vAlign w:val="center"/>
            <w:hideMark/>
          </w:tcPr>
          <w:p w:rsidR="00D105E8" w:rsidRPr="00217F2D" w:rsidRDefault="00D105E8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</w:rPr>
              <w:t>Total BUSCO groups searched</w:t>
            </w:r>
          </w:p>
        </w:tc>
        <w:tc>
          <w:tcPr>
            <w:tcW w:w="1518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3,950</w:t>
            </w:r>
          </w:p>
        </w:tc>
        <w:tc>
          <w:tcPr>
            <w:tcW w:w="1680" w:type="dxa"/>
            <w:vAlign w:val="center"/>
            <w:hideMark/>
          </w:tcPr>
          <w:p w:rsidR="00D105E8" w:rsidRPr="00217F2D" w:rsidRDefault="00D105E8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</w:p>
        </w:tc>
      </w:tr>
      <w:bookmarkEnd w:id="0"/>
      <w:bookmarkEnd w:id="1"/>
    </w:tbl>
    <w:p w:rsidR="00853936" w:rsidRPr="00217F2D" w:rsidRDefault="00853936">
      <w:pPr>
        <w:rPr>
          <w:rFonts w:ascii="Palatino Linotype" w:hAnsi="Palatino Linotype"/>
        </w:rPr>
      </w:pPr>
      <w:r w:rsidRPr="00217F2D">
        <w:rPr>
          <w:rFonts w:ascii="Palatino Linotype" w:hAnsi="Palatino Linotype"/>
        </w:rPr>
        <w:br w:type="page"/>
      </w:r>
    </w:p>
    <w:p w:rsidR="00853936" w:rsidRPr="00217F2D" w:rsidRDefault="00853936" w:rsidP="00853936">
      <w:pPr>
        <w:jc w:val="center"/>
        <w:rPr>
          <w:rFonts w:ascii="Palatino Linotype" w:hAnsi="Palatino Linotype"/>
        </w:rPr>
      </w:pPr>
      <w:r w:rsidRPr="00217F2D">
        <w:rPr>
          <w:rFonts w:ascii="Palatino Linotype" w:hAnsi="Palatino Linotype"/>
        </w:rPr>
        <w:lastRenderedPageBreak/>
        <w:t xml:space="preserve">Supplementary Table </w:t>
      </w:r>
      <w:r w:rsidR="00A966DA" w:rsidRPr="00217F2D">
        <w:rPr>
          <w:rFonts w:ascii="Palatino Linotype" w:hAnsi="Palatino Linotype"/>
        </w:rPr>
        <w:t>2</w:t>
      </w:r>
      <w:r w:rsidRPr="00217F2D">
        <w:rPr>
          <w:rFonts w:ascii="Palatino Linotype" w:hAnsi="Palatino Linotype"/>
        </w:rPr>
        <w:t xml:space="preserve">. The annotated state of all predicted encoding sequence based on </w:t>
      </w:r>
      <w:proofErr w:type="spellStart"/>
      <w:r w:rsidRPr="00217F2D">
        <w:rPr>
          <w:rFonts w:ascii="Palatino Linotype" w:hAnsi="Palatino Linotype"/>
        </w:rPr>
        <w:t>Nr</w:t>
      </w:r>
      <w:proofErr w:type="spellEnd"/>
      <w:r w:rsidRPr="00217F2D">
        <w:rPr>
          <w:rFonts w:ascii="Palatino Linotype" w:hAnsi="Palatino Linotype"/>
        </w:rPr>
        <w:t xml:space="preserve">, </w:t>
      </w:r>
      <w:proofErr w:type="spellStart"/>
      <w:r w:rsidRPr="00217F2D">
        <w:rPr>
          <w:rFonts w:ascii="Palatino Linotype" w:hAnsi="Palatino Linotype"/>
        </w:rPr>
        <w:t>Swissprot</w:t>
      </w:r>
      <w:proofErr w:type="spellEnd"/>
      <w:r w:rsidRPr="00217F2D">
        <w:rPr>
          <w:rFonts w:ascii="Palatino Linotype" w:hAnsi="Palatino Linotype"/>
        </w:rPr>
        <w:t>, KEGG and KOG.</w:t>
      </w:r>
    </w:p>
    <w:tbl>
      <w:tblPr>
        <w:tblW w:w="7371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134"/>
        <w:gridCol w:w="1134"/>
        <w:gridCol w:w="1134"/>
        <w:gridCol w:w="1134"/>
      </w:tblGrid>
      <w:tr w:rsidR="00853936" w:rsidRPr="00217F2D" w:rsidTr="00853936">
        <w:trPr>
          <w:trHeight w:val="334"/>
          <w:jc w:val="center"/>
        </w:trPr>
        <w:tc>
          <w:tcPr>
            <w:tcW w:w="1276" w:type="dxa"/>
            <w:vAlign w:val="center"/>
          </w:tcPr>
          <w:p w:rsidR="00853936" w:rsidRPr="00217F2D" w:rsidRDefault="00853936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  <w:t xml:space="preserve">Database </w:t>
            </w:r>
          </w:p>
        </w:tc>
        <w:tc>
          <w:tcPr>
            <w:tcW w:w="1559" w:type="dxa"/>
            <w:vAlign w:val="center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proofErr w:type="spellStart"/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Nr</w:t>
            </w:r>
            <w:proofErr w:type="spellEnd"/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proofErr w:type="spellStart"/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Swissprot</w:t>
            </w:r>
            <w:proofErr w:type="spellEnd"/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KEGG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KOG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Overall</w:t>
            </w:r>
          </w:p>
        </w:tc>
      </w:tr>
      <w:tr w:rsidR="00853936" w:rsidRPr="00217F2D" w:rsidTr="00853936">
        <w:trPr>
          <w:trHeight w:val="340"/>
          <w:jc w:val="center"/>
        </w:trPr>
        <w:tc>
          <w:tcPr>
            <w:tcW w:w="1276" w:type="dxa"/>
            <w:vAlign w:val="center"/>
          </w:tcPr>
          <w:p w:rsidR="00853936" w:rsidRPr="00217F2D" w:rsidRDefault="00853936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  <w:t>Number</w:t>
            </w:r>
          </w:p>
        </w:tc>
        <w:tc>
          <w:tcPr>
            <w:tcW w:w="1559" w:type="dxa"/>
            <w:vAlign w:val="center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12,392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11,190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10,615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9,393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  <w:lang w:eastAsia="zh-CN"/>
              </w:rPr>
              <w:t>12,462</w:t>
            </w:r>
          </w:p>
        </w:tc>
      </w:tr>
      <w:tr w:rsidR="00853936" w:rsidRPr="00217F2D" w:rsidTr="00853936">
        <w:trPr>
          <w:trHeight w:val="269"/>
          <w:jc w:val="center"/>
        </w:trPr>
        <w:tc>
          <w:tcPr>
            <w:tcW w:w="1276" w:type="dxa"/>
            <w:vAlign w:val="center"/>
          </w:tcPr>
          <w:p w:rsidR="00853936" w:rsidRPr="00217F2D" w:rsidRDefault="00853936" w:rsidP="00FA28BC">
            <w:pPr>
              <w:widowControl/>
              <w:suppressAutoHyphens w:val="0"/>
              <w:snapToGrid w:val="0"/>
              <w:jc w:val="center"/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</w:pPr>
            <w:r w:rsidRPr="00217F2D">
              <w:rPr>
                <w:rFonts w:ascii="Palatino Linotype" w:hAnsi="Palatino Linotype"/>
                <w:kern w:val="2"/>
                <w:sz w:val="21"/>
                <w:szCs w:val="21"/>
                <w:lang w:eastAsia="zh-CN"/>
              </w:rPr>
              <w:t>Percentage</w:t>
            </w:r>
          </w:p>
        </w:tc>
        <w:tc>
          <w:tcPr>
            <w:tcW w:w="1559" w:type="dxa"/>
            <w:vAlign w:val="center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88.29%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79.73%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75.63%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66.93%</w:t>
            </w:r>
          </w:p>
        </w:tc>
        <w:tc>
          <w:tcPr>
            <w:tcW w:w="1134" w:type="dxa"/>
          </w:tcPr>
          <w:p w:rsidR="00853936" w:rsidRPr="00217F2D" w:rsidRDefault="00853936" w:rsidP="00FA28BC">
            <w:pPr>
              <w:jc w:val="center"/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</w:pPr>
            <w:r w:rsidRPr="00217F2D">
              <w:rPr>
                <w:rFonts w:ascii="Palatino Linotype" w:hAnsi="Palatino Linotype"/>
                <w:color w:val="000000"/>
                <w:kern w:val="2"/>
                <w:sz w:val="22"/>
                <w:szCs w:val="22"/>
              </w:rPr>
              <w:t>88.79%</w:t>
            </w:r>
          </w:p>
        </w:tc>
      </w:tr>
    </w:tbl>
    <w:p w:rsidR="00853936" w:rsidRPr="00217F2D" w:rsidRDefault="00853936" w:rsidP="00853936">
      <w:pPr>
        <w:rPr>
          <w:rFonts w:ascii="Palatino Linotype" w:hAnsi="Palatino Linotype"/>
        </w:rPr>
      </w:pPr>
      <w:r w:rsidRPr="00217F2D">
        <w:rPr>
          <w:rFonts w:ascii="Palatino Linotype" w:hAnsi="Palatino Linotype"/>
        </w:rPr>
        <w:br w:type="page"/>
      </w:r>
      <w:r w:rsidR="00C57B3B" w:rsidRPr="00217F2D">
        <w:rPr>
          <w:rFonts w:ascii="Palatino Linotype" w:hAnsi="Palatino Linotype"/>
        </w:rPr>
        <w:lastRenderedPageBreak/>
        <w:t xml:space="preserve">Supplementary Table </w:t>
      </w:r>
      <w:r w:rsidR="00C57B3B">
        <w:rPr>
          <w:rFonts w:ascii="Palatino Linotype" w:hAnsi="Palatino Linotype"/>
        </w:rPr>
        <w:t>3</w:t>
      </w:r>
      <w:r w:rsidR="00BD1E0E" w:rsidRPr="00217F2D">
        <w:rPr>
          <w:rFonts w:ascii="Palatino Linotype" w:hAnsi="Palatino Linotype"/>
        </w:rPr>
        <w:t xml:space="preserve">: The functional annotation of the top 20 expression of gene 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852"/>
        <w:gridCol w:w="2550"/>
        <w:gridCol w:w="2636"/>
      </w:tblGrid>
      <w:tr w:rsidR="00A966DA" w:rsidRPr="00217F2D" w:rsidTr="00A966DA">
        <w:trPr>
          <w:trHeight w:val="285"/>
        </w:trPr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Expression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Protein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FPKM</w:t>
            </w: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Full name</w:t>
            </w:r>
          </w:p>
        </w:tc>
        <w:tc>
          <w:tcPr>
            <w:tcW w:w="15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Function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  <w:tcBorders>
              <w:top w:val="single" w:sz="4" w:space="0" w:color="auto"/>
            </w:tcBorders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97" w:type="pct"/>
            <w:tcBorders>
              <w:top w:val="single" w:sz="4" w:space="0" w:color="auto"/>
            </w:tcBorders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EEF1A1</w:t>
            </w: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15004.03</w:t>
            </w:r>
          </w:p>
        </w:tc>
        <w:tc>
          <w:tcPr>
            <w:tcW w:w="153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Elongation factor 1-alpha</w:t>
            </w:r>
          </w:p>
        </w:tc>
        <w:tc>
          <w:tcPr>
            <w:tcW w:w="158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protein synthesis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Unknown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12220.73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NA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MYLPF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10191.5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Myosin regulatory light chain 2, skeletal muscle isoform type 2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This chain binds calcium.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ACTA2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9785.69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Actin, aortic smooth muscle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Actins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are highly conserved proteins that are involved in various types of cell motility and are ubiquitously expressed in all eukaryotic cells.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bCs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bCs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bCs/>
                <w:color w:val="000000"/>
                <w:sz w:val="18"/>
                <w:szCs w:val="18"/>
                <w:lang w:eastAsia="zh-CN"/>
              </w:rPr>
              <w:t>FTH1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8137.79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Ferritin heavy chain B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Stores iron in a soluble, non-toxic, readily available form. Important for iron homeostasis. Has ferroxidase activity. Iron is taken up in the ferrous form and deposited as ferric hydroxides after oxidation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CKM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7984.02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Creatine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kinase M-type 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Reversibly catalyzes the transfer of phosphate between ATP and various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phosphogens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(e.g.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creatine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phosphate).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Creatine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kinase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isoenzymes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play a central role in energy transduction in tissues with large, fluctuating energy demands, such as skeletal muscle, heart, brain and spermatozoa.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Unknown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7582.42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NA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NA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RPS6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7334.68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40S ribosomal protein S6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Ribosomes, the organelles that catalyze protein synthesis, consist of a small 40S subunit and a large 60S subunit.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lastRenderedPageBreak/>
              <w:t>9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APOC1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6142.25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Apolipoprotein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C-I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The protein encoded by this gene is a member of the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apolipoprotein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C family. This gene is expressed primarily in the liver, and it is activated when monocytes differentiate into macrophages.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Hbb-b1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6141.04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Hemoglobin subunit beta-1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Involved in oxygen transport from the lung to the various peripheral tissues.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Parvalbumin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beta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5944.76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Parvalbumin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beta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In muscle,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parvalbumin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is thought to be involved in relaxation after contraction. It binds two calcium ions (By similarity).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AVD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5877.48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Avidin</w:t>
            </w:r>
            <w:proofErr w:type="spellEnd"/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Avidin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is a tetrameric biotin-binding protein produced in the oviducts of birds, reptiles and amphibians and deposited in the whites of their eggs. Dimeric members of the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avidin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family are also found in some bacteria. In chicken egg white,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avidin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makes up approximately 0.05% of total protein (approximately 180 μg per egg). The tetrameric protein contains four identical subunits (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homotetramer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), each of which can bind to biotin (Vitamin B7, vitamin H) with a high degree of affinity and specificity. 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MYL1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5376.12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Myosin light chain 1/3, skeletal muscle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Regulatory light chain of myosin. Does not bind calcium.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HBA2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5261.31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Hemoglobin subunit alpha-2 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hemoglobin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RPL27A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4738.98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60S ribosomal protein L27a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Ribosomes, the organelles that catalyze protein synthesis, consist of a small 40S subunit and a large 60S subunit.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lastRenderedPageBreak/>
              <w:t>16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ENO3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4230.44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Beta-enolase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Appears to have a function in striated muscle development and regeneration.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EEF2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3809.17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Elongation factor 2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protein synthesis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FABP7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3607.84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Fatty acid-binding protein, brain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B-FABP could be involved in the transport of a so far unknown hydrophobic ligand with potential </w:t>
            </w: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morphogenic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activity during CNS development. It is required for the establishment of the radial glial fiber system in developing brain, a system that is necessary for the migration of immature neurons to establish cortical layers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RPL4 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3583.66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60S ribosomal protein L4 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Ribosomes, the organelles that catalyze protein synthesis, consist of a small 40S subunit and a large 60S subunit.</w:t>
            </w:r>
          </w:p>
        </w:tc>
      </w:tr>
      <w:tr w:rsidR="00A966DA" w:rsidRPr="00217F2D" w:rsidTr="00A966DA">
        <w:trPr>
          <w:trHeight w:val="285"/>
        </w:trPr>
        <w:tc>
          <w:tcPr>
            <w:tcW w:w="768" w:type="pct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597" w:type="pct"/>
            <w:vAlign w:val="center"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HSP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3448.11</w:t>
            </w:r>
          </w:p>
        </w:tc>
        <w:tc>
          <w:tcPr>
            <w:tcW w:w="1535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Heat shock protein </w:t>
            </w:r>
          </w:p>
        </w:tc>
        <w:tc>
          <w:tcPr>
            <w:tcW w:w="1587" w:type="pct"/>
            <w:shd w:val="clear" w:color="auto" w:fill="auto"/>
            <w:noWrap/>
            <w:vAlign w:val="center"/>
            <w:hideMark/>
          </w:tcPr>
          <w:p w:rsidR="00A966DA" w:rsidRPr="00217F2D" w:rsidRDefault="00A966DA" w:rsidP="00A966DA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Many members of this group perform chaperone function by stabilizing new proteins to ensure correct folding or by helping to refold proteins that were damaged by the cell stress.</w:t>
            </w:r>
          </w:p>
        </w:tc>
      </w:tr>
    </w:tbl>
    <w:p w:rsidR="00BD1E0E" w:rsidRPr="00217F2D" w:rsidRDefault="00BD1E0E">
      <w:pPr>
        <w:rPr>
          <w:rFonts w:ascii="Palatino Linotype" w:hAnsi="Palatino Linotype"/>
        </w:rPr>
      </w:pPr>
      <w:r w:rsidRPr="00217F2D">
        <w:rPr>
          <w:rFonts w:ascii="Palatino Linotype" w:hAnsi="Palatino Linotype"/>
        </w:rPr>
        <w:br w:type="page"/>
      </w:r>
    </w:p>
    <w:p w:rsidR="00BD1E0E" w:rsidRPr="00217F2D" w:rsidRDefault="00C57B3B">
      <w:pPr>
        <w:rPr>
          <w:rFonts w:ascii="Palatino Linotype" w:hAnsi="Palatino Linotype"/>
        </w:rPr>
      </w:pPr>
      <w:r w:rsidRPr="00217F2D">
        <w:rPr>
          <w:rFonts w:ascii="Palatino Linotype" w:hAnsi="Palatino Linotype"/>
        </w:rPr>
        <w:lastRenderedPageBreak/>
        <w:t xml:space="preserve">Supplementary Table </w:t>
      </w:r>
      <w:r>
        <w:rPr>
          <w:rFonts w:ascii="Palatino Linotype" w:hAnsi="Palatino Linotype"/>
        </w:rPr>
        <w:t>4</w:t>
      </w:r>
      <w:bookmarkStart w:id="2" w:name="_GoBack"/>
      <w:bookmarkEnd w:id="2"/>
      <w:r w:rsidR="00273157" w:rsidRPr="00217F2D">
        <w:rPr>
          <w:rFonts w:ascii="Palatino Linotype" w:hAnsi="Palatino Linotype"/>
        </w:rPr>
        <w:t>:</w:t>
      </w:r>
      <w:r w:rsidR="00217F2D" w:rsidRPr="00217F2D">
        <w:rPr>
          <w:rFonts w:ascii="Palatino Linotype" w:hAnsi="Palatino Linotype"/>
        </w:rPr>
        <w:t xml:space="preserve"> The result of gene families clustering from </w:t>
      </w:r>
      <w:proofErr w:type="spellStart"/>
      <w:r w:rsidR="00217F2D" w:rsidRPr="00217F2D">
        <w:rPr>
          <w:rFonts w:ascii="Palatino Linotype" w:eastAsia="等线" w:hAnsi="Palatino Linotype" w:cs="宋体"/>
          <w:color w:val="000000"/>
          <w:lang w:eastAsia="zh-CN"/>
        </w:rPr>
        <w:t>Yenyuan</w:t>
      </w:r>
      <w:proofErr w:type="spellEnd"/>
      <w:r w:rsidR="00217F2D" w:rsidRPr="00217F2D">
        <w:rPr>
          <w:rFonts w:ascii="Palatino Linotype" w:eastAsia="等线" w:hAnsi="Palatino Linotype" w:cs="宋体"/>
          <w:color w:val="000000"/>
          <w:lang w:eastAsia="zh-CN"/>
        </w:rPr>
        <w:t xml:space="preserve"> stream salamander</w:t>
      </w:r>
      <w:r w:rsidR="00217F2D">
        <w:rPr>
          <w:rFonts w:ascii="Palatino Linotype" w:eastAsia="等线" w:hAnsi="Palatino Linotype" w:cs="宋体"/>
          <w:color w:val="000000"/>
          <w:lang w:eastAsia="zh-CN"/>
        </w:rPr>
        <w:t xml:space="preserve"> and other 18 vertebrates</w:t>
      </w:r>
    </w:p>
    <w:tbl>
      <w:tblPr>
        <w:tblW w:w="865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1191"/>
        <w:gridCol w:w="990"/>
        <w:gridCol w:w="993"/>
        <w:gridCol w:w="1369"/>
      </w:tblGrid>
      <w:tr w:rsidR="00273157" w:rsidRPr="00217F2D" w:rsidTr="001A6186">
        <w:trPr>
          <w:trHeight w:val="28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Species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Genes number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Genes in families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Unclustered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genes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Family number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Unique families</w:t>
            </w: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Average genes per family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zebrafish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25709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23916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1793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13937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221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1.72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coelacanth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19568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18571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997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13172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131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1.41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spotted gar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18341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17391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950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13437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57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1.29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fugu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19682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17985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1697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12458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145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1.44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Chinese softshell turtle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18177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17107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12431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76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1.38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B444E1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zebra finch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17472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15361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2111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11527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1.33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medaka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18518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17678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840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12124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1.46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cattle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19981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18965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1016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14291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139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1.33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elephant shark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19491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16099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3392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12631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1.27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whale shark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23554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20232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3322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13424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195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1.51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 xml:space="preserve">red </w:t>
            </w:r>
            <w:proofErr w:type="spellStart"/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junglefowl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18342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17107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1235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12376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136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1.38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human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19696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18773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923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14385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129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1.31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B444E1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sea lamprey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10202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7919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2283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6373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89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1.24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 xml:space="preserve">Asian </w:t>
            </w:r>
            <w:proofErr w:type="spellStart"/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arowana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22016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18563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3453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12698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1.46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African clawed frog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33574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26048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7526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16299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408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1.6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Western clawed frog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45942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36657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9285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16985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939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2.16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American bullfrog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22214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18525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3689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8466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366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2.19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hAnsi="Palatino Linotype"/>
                <w:snapToGrid w:val="0"/>
                <w:sz w:val="20"/>
                <w:szCs w:val="22"/>
                <w:lang w:bidi="en-US"/>
              </w:rPr>
              <w:t>high Himalaya frog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24745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23480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1265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13544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104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1.73</w:t>
            </w:r>
          </w:p>
        </w:tc>
      </w:tr>
      <w:tr w:rsidR="00273157" w:rsidRPr="00217F2D" w:rsidTr="001A6186">
        <w:trPr>
          <w:trHeight w:val="285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273157" w:rsidRPr="00217F2D" w:rsidRDefault="00217F2D" w:rsidP="00273157">
            <w:pPr>
              <w:widowControl/>
              <w:suppressAutoHyphens w:val="0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Yenyuan</w:t>
            </w:r>
            <w:proofErr w:type="spellEnd"/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 xml:space="preserve"> stream salamander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14035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10829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3206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7088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278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:rsidR="00273157" w:rsidRPr="00217F2D" w:rsidRDefault="00273157" w:rsidP="00273157">
            <w:pPr>
              <w:widowControl/>
              <w:suppressAutoHyphens w:val="0"/>
              <w:jc w:val="right"/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</w:pPr>
            <w:r w:rsidRPr="00217F2D">
              <w:rPr>
                <w:rFonts w:ascii="Palatino Linotype" w:eastAsia="等线" w:hAnsi="Palatino Linotype" w:cs="宋体"/>
                <w:color w:val="000000"/>
                <w:sz w:val="18"/>
                <w:szCs w:val="18"/>
                <w:lang w:eastAsia="zh-CN"/>
              </w:rPr>
              <w:t>1.53</w:t>
            </w:r>
          </w:p>
        </w:tc>
      </w:tr>
    </w:tbl>
    <w:p w:rsidR="00273157" w:rsidRPr="00217F2D" w:rsidRDefault="00273157">
      <w:pPr>
        <w:rPr>
          <w:rFonts w:ascii="Palatino Linotype" w:hAnsi="Palatino Linotype"/>
        </w:rPr>
      </w:pPr>
    </w:p>
    <w:sectPr w:rsidR="00273157" w:rsidRPr="00217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80"/>
    <w:rsid w:val="001A6186"/>
    <w:rsid w:val="00217F2D"/>
    <w:rsid w:val="00273157"/>
    <w:rsid w:val="004239B9"/>
    <w:rsid w:val="0051275E"/>
    <w:rsid w:val="005442B6"/>
    <w:rsid w:val="006A5431"/>
    <w:rsid w:val="006E7D72"/>
    <w:rsid w:val="00734745"/>
    <w:rsid w:val="007872E3"/>
    <w:rsid w:val="00853936"/>
    <w:rsid w:val="008707CD"/>
    <w:rsid w:val="008A4380"/>
    <w:rsid w:val="00965EB0"/>
    <w:rsid w:val="009E615B"/>
    <w:rsid w:val="00A02ED7"/>
    <w:rsid w:val="00A22E35"/>
    <w:rsid w:val="00A421A6"/>
    <w:rsid w:val="00A966DA"/>
    <w:rsid w:val="00B444E1"/>
    <w:rsid w:val="00B77392"/>
    <w:rsid w:val="00B92670"/>
    <w:rsid w:val="00BD1E0E"/>
    <w:rsid w:val="00C10554"/>
    <w:rsid w:val="00C57B3B"/>
    <w:rsid w:val="00D105E8"/>
    <w:rsid w:val="00D14095"/>
    <w:rsid w:val="00D4042F"/>
    <w:rsid w:val="00D750D3"/>
    <w:rsid w:val="00E3210C"/>
    <w:rsid w:val="00E44AB3"/>
    <w:rsid w:val="00E9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B964A"/>
  <w15:chartTrackingRefBased/>
  <w15:docId w15:val="{EB30BA7C-51A9-4B40-9DA8-CEEB9983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5E8"/>
    <w:pPr>
      <w:widowControl w:val="0"/>
      <w:suppressAutoHyphens/>
    </w:pPr>
    <w:rPr>
      <w:rFonts w:ascii="Times New Roman" w:eastAsia="宋体" w:hAnsi="Times New Roman" w:cs="Times New Roman"/>
      <w:kern w:val="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2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A6E8F-355B-45A5-B01E-5E748485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3049</TotalTime>
  <Pages>6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吕云云(yunyun lv)</dc:creator>
  <cp:keywords/>
  <dc:description/>
  <cp:lastModifiedBy>吕云云(yunyun lv)</cp:lastModifiedBy>
  <cp:revision>12</cp:revision>
  <dcterms:created xsi:type="dcterms:W3CDTF">2019-01-10T02:38:00Z</dcterms:created>
  <dcterms:modified xsi:type="dcterms:W3CDTF">2019-01-16T08:21:00Z</dcterms:modified>
</cp:coreProperties>
</file>