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995E" w14:textId="77777777" w:rsidR="002D12D1" w:rsidRDefault="002D12D1" w:rsidP="002D12D1">
      <w:pPr>
        <w:rPr>
          <w:b/>
        </w:rPr>
      </w:pPr>
      <w:r>
        <w:rPr>
          <w:noProof/>
        </w:rPr>
        <w:drawing>
          <wp:inline distT="0" distB="0" distL="0" distR="0" wp14:anchorId="4818B750" wp14:editId="773D65C1">
            <wp:extent cx="4674413" cy="52217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l Figure 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6018" cy="522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D12D1">
        <w:rPr>
          <w:b/>
        </w:rPr>
        <w:t xml:space="preserve"> </w:t>
      </w:r>
      <w:bookmarkStart w:id="0" w:name="_GoBack"/>
      <w:bookmarkEnd w:id="0"/>
    </w:p>
    <w:p w14:paraId="3C0B64EB" w14:textId="1075BE04" w:rsidR="002D12D1" w:rsidRPr="002D12D1" w:rsidRDefault="002D12D1" w:rsidP="00407897">
      <w:pPr>
        <w:jc w:val="both"/>
        <w:rPr>
          <w:b/>
        </w:rPr>
      </w:pPr>
      <w:r w:rsidRPr="002D12D1">
        <w:rPr>
          <w:b/>
        </w:rPr>
        <w:t xml:space="preserve">Supplemental Figure </w:t>
      </w:r>
      <w:r w:rsidR="005F526B">
        <w:rPr>
          <w:b/>
        </w:rPr>
        <w:t>S</w:t>
      </w:r>
      <w:r w:rsidRPr="002D12D1">
        <w:rPr>
          <w:b/>
        </w:rPr>
        <w:t xml:space="preserve">1. </w:t>
      </w:r>
      <w:r>
        <w:t>PCA analyses of (</w:t>
      </w:r>
      <w:r w:rsidRPr="007327C1">
        <w:rPr>
          <w:b/>
        </w:rPr>
        <w:t>A</w:t>
      </w:r>
      <w:r>
        <w:t>) the data acquired from the BALF samples and (</w:t>
      </w:r>
      <w:r w:rsidRPr="007327C1">
        <w:rPr>
          <w:b/>
        </w:rPr>
        <w:t>B</w:t>
      </w:r>
      <w:r>
        <w:t>) the data acquired from the serum samples. Note that particul</w:t>
      </w:r>
      <w:r w:rsidR="007327C1">
        <w:t>arly the BALF-</w:t>
      </w:r>
      <w:r>
        <w:t xml:space="preserve"> but al</w:t>
      </w:r>
      <w:r w:rsidR="007327C1">
        <w:t>so the serum samples cluster</w:t>
      </w:r>
      <w:r>
        <w:t xml:space="preserve"> according to healthy controls (HC) and sarcoidosis (</w:t>
      </w:r>
      <w:proofErr w:type="spellStart"/>
      <w:r>
        <w:t>Löfgren’s</w:t>
      </w:r>
      <w:proofErr w:type="spellEnd"/>
      <w:r>
        <w:t xml:space="preserve"> Syndrome and non-</w:t>
      </w:r>
      <w:r w:rsidRPr="002D12D1">
        <w:t xml:space="preserve"> </w:t>
      </w:r>
      <w:proofErr w:type="spellStart"/>
      <w:r w:rsidRPr="002D12D1">
        <w:t>Löfgren’s</w:t>
      </w:r>
      <w:proofErr w:type="spellEnd"/>
      <w:r w:rsidRPr="002D12D1">
        <w:t xml:space="preserve"> Syndrome</w:t>
      </w:r>
      <w:r>
        <w:t xml:space="preserve">; LS and </w:t>
      </w:r>
      <w:proofErr w:type="spellStart"/>
      <w:r>
        <w:t>nonLS</w:t>
      </w:r>
      <w:proofErr w:type="spellEnd"/>
      <w:r>
        <w:t>).</w:t>
      </w:r>
    </w:p>
    <w:p w14:paraId="1C2B66F0" w14:textId="77777777" w:rsidR="00267221" w:rsidRDefault="00267221"/>
    <w:sectPr w:rsidR="002672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2D1"/>
    <w:rsid w:val="00267221"/>
    <w:rsid w:val="002D12D1"/>
    <w:rsid w:val="00407897"/>
    <w:rsid w:val="005F526B"/>
    <w:rsid w:val="0073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E0358"/>
  <w15:chartTrackingRefBased/>
  <w15:docId w15:val="{319DEC26-A313-4923-817C-6F8911B8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267</Characters>
  <Application>Microsoft Office Word</Application>
  <DocSecurity>0</DocSecurity>
  <Lines>5</Lines>
  <Paragraphs>1</Paragraphs>
  <ScaleCrop>false</ScaleCrop>
  <Company>MBB KI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Lundström</dc:creator>
  <cp:keywords/>
  <dc:description/>
  <cp:lastModifiedBy>MDPI</cp:lastModifiedBy>
  <cp:revision>4</cp:revision>
  <dcterms:created xsi:type="dcterms:W3CDTF">2019-04-18T07:41:00Z</dcterms:created>
  <dcterms:modified xsi:type="dcterms:W3CDTF">2019-04-30T03:43:00Z</dcterms:modified>
</cp:coreProperties>
</file>