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B2" w:rsidRPr="00E14BCA" w:rsidRDefault="002834B2" w:rsidP="00E14BCA">
      <w:pPr>
        <w:pStyle w:val="MDPI41tablecaption"/>
        <w:rPr>
          <w:rFonts w:eastAsiaTheme="majorEastAsia"/>
          <w:lang w:val="en-GB"/>
        </w:rPr>
      </w:pPr>
      <w:r w:rsidRPr="00E14BCA">
        <w:rPr>
          <w:b/>
          <w:lang w:val="en-GB"/>
        </w:rPr>
        <w:t xml:space="preserve">Supplementary Table S1. </w:t>
      </w:r>
      <w:r w:rsidR="00552460" w:rsidRPr="00E14BCA">
        <w:rPr>
          <w:lang w:val="en-GB"/>
        </w:rPr>
        <w:t xml:space="preserve">List of top 21-47 proteins significantly upregulated at least 4-fold </w:t>
      </w:r>
      <w:r w:rsidR="00552460" w:rsidRPr="00E14BCA">
        <w:rPr>
          <w:rFonts w:eastAsiaTheme="majorEastAsia"/>
          <w:lang w:val="en-GB"/>
        </w:rPr>
        <w:t>(log</w:t>
      </w:r>
      <w:r w:rsidR="00552460" w:rsidRPr="00E14BCA">
        <w:rPr>
          <w:rFonts w:eastAsiaTheme="majorEastAsia"/>
          <w:vertAlign w:val="subscript"/>
          <w:lang w:val="en-GB"/>
        </w:rPr>
        <w:t>2</w:t>
      </w:r>
      <w:r w:rsidR="00552460" w:rsidRPr="00E14BCA">
        <w:rPr>
          <w:rFonts w:eastAsiaTheme="majorEastAsia"/>
          <w:lang w:val="en-GB"/>
        </w:rPr>
        <w:t>FC=2)</w:t>
      </w:r>
      <w:r w:rsidR="00552460" w:rsidRPr="00E14BCA">
        <w:rPr>
          <w:lang w:val="en-GB"/>
        </w:rPr>
        <w:t xml:space="preserve"> relative to the controls k</w:t>
      </w:r>
      <w:bookmarkStart w:id="0" w:name="_GoBack"/>
      <w:bookmarkEnd w:id="0"/>
      <w:r w:rsidR="00552460" w:rsidRPr="00E14BCA">
        <w:rPr>
          <w:lang w:val="en-GB"/>
        </w:rPr>
        <w:t>idneys at LP in mice</w:t>
      </w:r>
      <w:r w:rsidRPr="00E14BCA">
        <w:rPr>
          <w:lang w:val="en-GB"/>
        </w:rPr>
        <w:t>. APPs are highlighted in bold, other proteins involved in response to stress are highlighted in italics, proteins present at both time points are highlighted in grey. log</w:t>
      </w:r>
      <w:r w:rsidRPr="00E14BCA">
        <w:rPr>
          <w:vertAlign w:val="subscript"/>
          <w:lang w:val="en-GB"/>
        </w:rPr>
        <w:t>2</w:t>
      </w:r>
      <w:r w:rsidRPr="00E14BCA">
        <w:rPr>
          <w:lang w:val="en-GB"/>
        </w:rPr>
        <w:t>FC: log2 transformed values of fold change.</w:t>
      </w:r>
    </w:p>
    <w:tbl>
      <w:tblPr>
        <w:tblStyle w:val="TableGrid"/>
        <w:tblW w:w="9188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16"/>
        <w:gridCol w:w="3565"/>
        <w:gridCol w:w="821"/>
        <w:gridCol w:w="3565"/>
        <w:gridCol w:w="821"/>
      </w:tblGrid>
      <w:tr w:rsidR="002834B2" w:rsidRPr="00E14BCA" w:rsidTr="00E14BCA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E14BCA">
            <w:pPr>
              <w:pStyle w:val="MDPI42tablebody"/>
              <w:autoSpaceDE w:val="0"/>
              <w:autoSpaceDN w:val="0"/>
              <w:spacing w:line="240" w:lineRule="auto"/>
              <w:rPr>
                <w:b/>
                <w:lang w:val="en-GB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LP24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log</w:t>
            </w:r>
            <w:r w:rsidRPr="00E14BCA">
              <w:rPr>
                <w:b/>
                <w:vertAlign w:val="subscript"/>
                <w:lang w:val="en-GB"/>
              </w:rPr>
              <w:t>2</w:t>
            </w:r>
            <w:r w:rsidRPr="00E14BCA">
              <w:rPr>
                <w:b/>
                <w:lang w:val="en-GB"/>
              </w:rPr>
              <w:t>FC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LP48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log</w:t>
            </w:r>
            <w:r w:rsidRPr="00E14BCA">
              <w:rPr>
                <w:b/>
                <w:vertAlign w:val="subscript"/>
                <w:lang w:val="en-GB"/>
              </w:rPr>
              <w:t>2</w:t>
            </w:r>
            <w:r w:rsidRPr="00E14BCA">
              <w:rPr>
                <w:b/>
                <w:lang w:val="en-GB"/>
              </w:rPr>
              <w:t>FC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highlight w:val="lightGray"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Interferon-induced transmembrane protein 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3.45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proofErr w:type="spellStart"/>
            <w:r w:rsidRPr="00E14BCA">
              <w:rPr>
                <w:b/>
                <w:highlight w:val="lightGray"/>
                <w:lang w:val="en-GB"/>
              </w:rPr>
              <w:t>Ceruloplasmin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3.07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Murinoglobulin-1, Murinoglobulin-2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b/>
                <w:highlight w:val="lightGray"/>
                <w:lang w:val="en-GB"/>
              </w:rPr>
              <w:t>Alpha-2-macroglobulin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3.03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Major urinary protein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highlight w:val="lightGray"/>
                <w:lang w:val="en-GB"/>
              </w:rPr>
              <w:t>Serum amyloid A-1 protein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3.00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highlight w:val="lightGray"/>
                <w:lang w:val="en-GB"/>
              </w:rPr>
              <w:t>Proteasome activator complex subunit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Interferon-induced transmembrane protein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2.91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Alpha-1-antitrypsin 1-3, Alpha-1-antitrypsin 1-1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Cytochrome P450 4A10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2.83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highlight w:val="lightGray"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Guanylate-binding protein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3.00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highlight w:val="lightGray"/>
                <w:lang w:val="en-GB"/>
              </w:rPr>
              <w:t>Proteasome activator complex subunit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2.82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highlight w:val="lightGray"/>
                <w:lang w:val="en-GB"/>
              </w:rPr>
            </w:pPr>
            <w:r w:rsidRPr="00E14BCA">
              <w:rPr>
                <w:b/>
                <w:highlight w:val="lightGray"/>
                <w:lang w:val="en-GB"/>
              </w:rPr>
              <w:t>Beta-2-microglobulin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highlight w:val="lightGray"/>
                <w:lang w:val="en-GB"/>
              </w:rPr>
              <w:t>Ferritin heavy chain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2.69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highlight w:val="lightGray"/>
                <w:lang w:val="en-GB"/>
              </w:rPr>
              <w:t>Ferritin heavy chain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Guanylate-binding protein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2.57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Serine protease inhibitor A3N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Xanthine dehydrogenase/oxidase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2.55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proofErr w:type="spellStart"/>
            <w:r w:rsidRPr="00E14BCA">
              <w:rPr>
                <w:i/>
                <w:highlight w:val="lightGray"/>
                <w:lang w:val="en-GB"/>
              </w:rPr>
              <w:t>Deoxynucleoside</w:t>
            </w:r>
            <w:proofErr w:type="spellEnd"/>
            <w:r w:rsidRPr="00E14BCA">
              <w:rPr>
                <w:i/>
                <w:highlight w:val="lightGray"/>
                <w:lang w:val="en-GB"/>
              </w:rPr>
              <w:t xml:space="preserve"> triphosphate </w:t>
            </w:r>
            <w:proofErr w:type="spellStart"/>
            <w:r w:rsidRPr="00E14BCA">
              <w:rPr>
                <w:i/>
                <w:highlight w:val="lightGray"/>
                <w:lang w:val="en-GB"/>
              </w:rPr>
              <w:t>triphosphohydrolase</w:t>
            </w:r>
            <w:proofErr w:type="spellEnd"/>
            <w:r w:rsidRPr="00E14BCA">
              <w:rPr>
                <w:i/>
                <w:highlight w:val="lightGray"/>
                <w:lang w:val="en-GB"/>
              </w:rPr>
              <w:t xml:space="preserve"> SAMHD1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H-2 class II histocompatibility antigen, A-Q beta and A-D beta chain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2.50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Kininogen-1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proofErr w:type="spellStart"/>
            <w:r w:rsidRPr="00E14BCA">
              <w:rPr>
                <w:i/>
                <w:highlight w:val="lightGray"/>
                <w:lang w:val="en-GB"/>
              </w:rPr>
              <w:t>Deoxynucleoside</w:t>
            </w:r>
            <w:proofErr w:type="spellEnd"/>
            <w:r w:rsidRPr="00E14BCA">
              <w:rPr>
                <w:i/>
                <w:highlight w:val="lightGray"/>
                <w:lang w:val="en-GB"/>
              </w:rPr>
              <w:t xml:space="preserve"> triphosphate </w:t>
            </w:r>
            <w:proofErr w:type="spellStart"/>
            <w:r w:rsidRPr="00E14BCA">
              <w:rPr>
                <w:i/>
                <w:highlight w:val="lightGray"/>
                <w:lang w:val="en-GB"/>
              </w:rPr>
              <w:t>triphosphohydrolase</w:t>
            </w:r>
            <w:proofErr w:type="spellEnd"/>
            <w:r w:rsidRPr="00E14BCA">
              <w:rPr>
                <w:i/>
                <w:highlight w:val="lightGray"/>
                <w:lang w:val="en-GB"/>
              </w:rPr>
              <w:t xml:space="preserve"> SAMHD1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2.45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highlight w:val="lightGray"/>
                <w:lang w:val="en-GB"/>
              </w:rPr>
              <w:t>Proteasome activator complex subunit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highlight w:val="lightGray"/>
                <w:lang w:val="en-GB"/>
              </w:rPr>
              <w:t>Proteasome activator complex subunit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2.43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highlight w:val="lightGray"/>
                <w:lang w:val="en-GB"/>
              </w:rPr>
            </w:pPr>
            <w:r w:rsidRPr="00E14BCA">
              <w:rPr>
                <w:highlight w:val="lightGray"/>
                <w:lang w:val="en-GB"/>
              </w:rPr>
              <w:t>Proteasome subunit alpha type-7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[Pyruvate dehydrogenase (acetyl-transferring)] kinase isozyme 4, mitochondrial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2.42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highlight w:val="lightGray"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[Pyruvate dehydrogenase (acetyl-transferring)] kinase isozyme 4, mitochondrial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highlight w:val="lightGray"/>
                <w:lang w:val="en-GB"/>
              </w:rPr>
              <w:t>Proteasome subunit alpha type-7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2.40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highlight w:val="lightGray"/>
                <w:lang w:val="en-GB"/>
              </w:rPr>
              <w:t>Glucose 1-dehydrogenase, 6-phosphogluconolactonase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Long-chain-fatty-acid--CoA ligase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2.36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 xml:space="preserve">Inorganic </w:t>
            </w:r>
            <w:proofErr w:type="spellStart"/>
            <w:r w:rsidRPr="00E14BCA">
              <w:rPr>
                <w:lang w:val="en-GB"/>
              </w:rPr>
              <w:t>pyrophosphatase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 xml:space="preserve">von </w:t>
            </w:r>
            <w:proofErr w:type="spellStart"/>
            <w:r w:rsidRPr="00E14BCA">
              <w:rPr>
                <w:b/>
                <w:lang w:val="en-GB"/>
              </w:rPr>
              <w:t>Willebrand</w:t>
            </w:r>
            <w:proofErr w:type="spellEnd"/>
            <w:r w:rsidRPr="00E14BCA">
              <w:rPr>
                <w:b/>
                <w:lang w:val="en-GB"/>
              </w:rPr>
              <w:t xml:space="preserve"> factor A domain-containing protein 5A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2.33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Signal transducer and activator of transcription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proofErr w:type="spellStart"/>
            <w:r w:rsidRPr="00E14BCA">
              <w:rPr>
                <w:lang w:val="en-GB"/>
              </w:rPr>
              <w:t>Prelamin</w:t>
            </w:r>
            <w:proofErr w:type="spellEnd"/>
            <w:r w:rsidRPr="00E14BCA">
              <w:rPr>
                <w:lang w:val="en-GB"/>
              </w:rPr>
              <w:t xml:space="preserve">-A/C; </w:t>
            </w:r>
            <w:proofErr w:type="spellStart"/>
            <w:r w:rsidRPr="00E14BCA">
              <w:rPr>
                <w:lang w:val="en-GB"/>
              </w:rPr>
              <w:t>Lamin</w:t>
            </w:r>
            <w:proofErr w:type="spellEnd"/>
            <w:r w:rsidRPr="00E14BCA">
              <w:rPr>
                <w:lang w:val="en-GB"/>
              </w:rPr>
              <w:t>-A/C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2.30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lastRenderedPageBreak/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proofErr w:type="spellStart"/>
            <w:r w:rsidRPr="00E14BCA">
              <w:rPr>
                <w:b/>
                <w:lang w:val="en-GB"/>
              </w:rPr>
              <w:t>Apolipoprotein</w:t>
            </w:r>
            <w:proofErr w:type="spellEnd"/>
            <w:r w:rsidRPr="00E14BCA">
              <w:rPr>
                <w:b/>
                <w:lang w:val="en-GB"/>
              </w:rPr>
              <w:t xml:space="preserve"> 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Basal cell adhesion molecule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2.29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proofErr w:type="spellStart"/>
            <w:r w:rsidRPr="00E14BCA">
              <w:rPr>
                <w:b/>
                <w:lang w:val="en-GB"/>
              </w:rPr>
              <w:t>Serotransferrin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Glucose 1-dehydrogenase, 6-phosphogluconolactonase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2.27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highlight w:val="lightGray"/>
                <w:lang w:val="en-GB"/>
              </w:rPr>
              <w:t>Serum amyloid A-1 protein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Adenosine kinase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2.27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Protein S100-A9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H-2 class I histocompatibility antigen K-W28 alpha and K-Q alpha chain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2.21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Vitamin D-binding protein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highlight w:val="lightGray"/>
                <w:lang w:val="en-GB"/>
              </w:rPr>
              <w:t>Signal transducer and activator of transcription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2.21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Actin-related protein 2/3 complex subunit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Microsomal glutathione S-transferase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2.12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r w:rsidRPr="00E14BCA">
              <w:rPr>
                <w:b/>
                <w:lang w:val="en-GB"/>
              </w:rPr>
              <w:t>Serum albumin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Macrophage-capping protein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2.00</w:t>
            </w: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i/>
                <w:lang w:val="en-GB"/>
              </w:rPr>
            </w:pPr>
            <w:r w:rsidRPr="00E14BCA">
              <w:rPr>
                <w:i/>
                <w:lang w:val="en-GB"/>
              </w:rPr>
              <w:t>High mobility group protein B2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b/>
                <w:lang w:val="en-GB"/>
              </w:rPr>
            </w:pPr>
            <w:proofErr w:type="spellStart"/>
            <w:r w:rsidRPr="00E14BCA">
              <w:rPr>
                <w:b/>
                <w:lang w:val="en-GB"/>
              </w:rPr>
              <w:t>Apolipoprotein</w:t>
            </w:r>
            <w:proofErr w:type="spellEnd"/>
            <w:r w:rsidRPr="00E14BCA">
              <w:rPr>
                <w:b/>
                <w:lang w:val="en-GB"/>
              </w:rPr>
              <w:t xml:space="preserve"> A-I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</w:p>
        </w:tc>
      </w:tr>
      <w:tr w:rsidR="002834B2" w:rsidRPr="00E14BCA" w:rsidTr="00E14BCA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ADP-</w:t>
            </w:r>
            <w:proofErr w:type="spellStart"/>
            <w:r w:rsidRPr="00E14BCA">
              <w:rPr>
                <w:lang w:val="en-GB"/>
              </w:rPr>
              <w:t>ribosylation</w:t>
            </w:r>
            <w:proofErr w:type="spellEnd"/>
            <w:r w:rsidRPr="00E14BCA">
              <w:rPr>
                <w:lang w:val="en-GB"/>
              </w:rPr>
              <w:t xml:space="preserve"> factor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  <w:r w:rsidRPr="00E14BCA">
              <w:rPr>
                <w:lang w:val="en-GB"/>
              </w:rPr>
              <w:t>2.08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34B2" w:rsidRPr="00E14BCA" w:rsidRDefault="002834B2" w:rsidP="00414B8B">
            <w:pPr>
              <w:pStyle w:val="MDPI42tablebody"/>
              <w:rPr>
                <w:lang w:val="en-GB"/>
              </w:rPr>
            </w:pPr>
          </w:p>
        </w:tc>
      </w:tr>
    </w:tbl>
    <w:p w:rsidR="002834B2" w:rsidRPr="00E14BCA" w:rsidRDefault="002834B2" w:rsidP="002834B2">
      <w:pPr>
        <w:pStyle w:val="MDPI41tablecaption"/>
        <w:rPr>
          <w:rFonts w:eastAsiaTheme="majorEastAsia"/>
          <w:lang w:val="en-GB"/>
        </w:rPr>
      </w:pPr>
    </w:p>
    <w:sectPr w:rsidR="002834B2" w:rsidRPr="00E14BCA" w:rsidSect="00E14BC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8DC" w:rsidRDefault="00F928DC">
      <w:pPr>
        <w:spacing w:line="240" w:lineRule="auto"/>
      </w:pPr>
      <w:r>
        <w:separator/>
      </w:r>
    </w:p>
  </w:endnote>
  <w:endnote w:type="continuationSeparator" w:id="0">
    <w:p w:rsidR="00F928DC" w:rsidRDefault="00F928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70" w:rsidRPr="00A71A3D" w:rsidRDefault="005E1D70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70" w:rsidRPr="008B308E" w:rsidRDefault="005E1D70" w:rsidP="0004400E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Pr="00506BC0">
      <w:rPr>
        <w:b/>
        <w:iCs/>
        <w:lang w:val="fr-CH"/>
      </w:rPr>
      <w:t>2019</w:t>
    </w:r>
    <w:r w:rsidRPr="00506BC0">
      <w:rPr>
        <w:iCs/>
        <w:lang w:val="fr-CH"/>
      </w:rPr>
      <w:t xml:space="preserve">, </w:t>
    </w:r>
    <w:r w:rsidRPr="00506BC0">
      <w:rPr>
        <w:i/>
        <w:iCs/>
        <w:lang w:val="fr-CH"/>
      </w:rPr>
      <w:t>20</w:t>
    </w:r>
    <w:r w:rsidRPr="00506BC0">
      <w:rPr>
        <w:iCs/>
        <w:lang w:val="fr-CH"/>
      </w:rPr>
      <w:t xml:space="preserve">, </w:t>
    </w:r>
    <w:r>
      <w:rPr>
        <w:iCs/>
        <w:lang w:val="fr-CH"/>
      </w:rPr>
      <w:t xml:space="preserve">x; </w:t>
    </w:r>
    <w:proofErr w:type="spellStart"/>
    <w:r>
      <w:rPr>
        <w:iCs/>
        <w:lang w:val="fr-CH"/>
      </w:rPr>
      <w:t>doi</w:t>
    </w:r>
    <w:proofErr w:type="spellEnd"/>
    <w:r>
      <w:rPr>
        <w:iCs/>
        <w:lang w:val="fr-CH"/>
      </w:rPr>
      <w:t>: FOR PEER REVIEW</w:t>
    </w:r>
    <w:r w:rsidRPr="008B308E">
      <w:rPr>
        <w:lang w:val="fr-CH"/>
      </w:rPr>
      <w:tab/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8DC" w:rsidRDefault="00F928DC">
      <w:pPr>
        <w:spacing w:line="240" w:lineRule="auto"/>
      </w:pPr>
      <w:r>
        <w:separator/>
      </w:r>
    </w:p>
  </w:footnote>
  <w:footnote w:type="continuationSeparator" w:id="0">
    <w:p w:rsidR="00F928DC" w:rsidRDefault="00F928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70" w:rsidRDefault="005E1D70" w:rsidP="0004400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70" w:rsidRPr="003257E1" w:rsidRDefault="005E1D70" w:rsidP="0004400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 w:rsidRPr="00506BC0">
      <w:rPr>
        <w:rFonts w:ascii="Palatino Linotype" w:hAnsi="Palatino Linotype"/>
        <w:b/>
        <w:sz w:val="16"/>
      </w:rPr>
      <w:t>2019</w:t>
    </w:r>
    <w:r w:rsidRPr="00506BC0">
      <w:rPr>
        <w:rFonts w:ascii="Palatino Linotype" w:hAnsi="Palatino Linotype"/>
        <w:sz w:val="16"/>
      </w:rPr>
      <w:t xml:space="preserve">, </w:t>
    </w:r>
    <w:r w:rsidRPr="00506BC0">
      <w:rPr>
        <w:rFonts w:ascii="Palatino Linotype" w:hAnsi="Palatino Linotype"/>
        <w:i/>
        <w:sz w:val="16"/>
      </w:rPr>
      <w:t>20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 w:rsidR="00B664A8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 w:rsidR="00B664A8">
      <w:rPr>
        <w:rFonts w:ascii="Palatino Linotype" w:hAnsi="Palatino Linotype"/>
        <w:sz w:val="16"/>
      </w:rPr>
      <w:fldChar w:fldCharType="separate"/>
    </w:r>
    <w:r w:rsidR="00E14BCA">
      <w:rPr>
        <w:rFonts w:ascii="Palatino Linotype" w:hAnsi="Palatino Linotype"/>
        <w:noProof/>
        <w:sz w:val="16"/>
      </w:rPr>
      <w:t>2</w:t>
    </w:r>
    <w:r w:rsidR="00B664A8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F928DC">
      <w:rPr>
        <w:rFonts w:ascii="Palatino Linotype" w:hAnsi="Palatino Linotype"/>
        <w:noProof/>
        <w:sz w:val="16"/>
      </w:rPr>
      <w:fldChar w:fldCharType="begin"/>
    </w:r>
    <w:r w:rsidR="00F928DC">
      <w:rPr>
        <w:rFonts w:ascii="Palatino Linotype" w:hAnsi="Palatino Linotype"/>
        <w:noProof/>
        <w:sz w:val="16"/>
      </w:rPr>
      <w:instrText xml:space="preserve"> NUMPAGES   \* MERGEFORMAT </w:instrText>
    </w:r>
    <w:r w:rsidR="00F928DC">
      <w:rPr>
        <w:rFonts w:ascii="Palatino Linotype" w:hAnsi="Palatino Linotype"/>
        <w:noProof/>
        <w:sz w:val="16"/>
      </w:rPr>
      <w:fldChar w:fldCharType="separate"/>
    </w:r>
    <w:r w:rsidR="00E14BCA">
      <w:rPr>
        <w:rFonts w:ascii="Palatino Linotype" w:hAnsi="Palatino Linotype"/>
        <w:noProof/>
        <w:sz w:val="16"/>
      </w:rPr>
      <w:t>2</w:t>
    </w:r>
    <w:r w:rsidR="00F928DC">
      <w:rPr>
        <w:rFonts w:ascii="Palatino Linotype" w:hAnsi="Palatino Linotype"/>
        <w:noProof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70" w:rsidRDefault="008306DE" w:rsidP="0004400E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3560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1D70" w:rsidRDefault="005E1D70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2925" cy="35242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8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" stroked="f">
              <v:textbox inset="0,0,0,0">
                <w:txbxContent>
                  <w:p w:rsidR="005E1D70" w:rsidRDefault="005E1D70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2925" cy="35242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E1D70" w:rsidRPr="00A04686">
      <w:rPr>
        <w:noProof/>
        <w:lang w:eastAsia="zh-CN"/>
      </w:rPr>
      <w:drawing>
        <wp:inline distT="0" distB="0" distL="0" distR="0">
          <wp:extent cx="1666875" cy="438150"/>
          <wp:effectExtent l="0" t="0" r="0" b="0"/>
          <wp:docPr id="5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375"/>
    <w:multiLevelType w:val="hybridMultilevel"/>
    <w:tmpl w:val="37C287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71DD5"/>
    <w:multiLevelType w:val="hybridMultilevel"/>
    <w:tmpl w:val="FA5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D437A"/>
    <w:multiLevelType w:val="hybridMultilevel"/>
    <w:tmpl w:val="12049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9C6185"/>
    <w:multiLevelType w:val="hybridMultilevel"/>
    <w:tmpl w:val="7220C20C"/>
    <w:lvl w:ilvl="0" w:tplc="AADE8E16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FB27DC"/>
    <w:multiLevelType w:val="hybridMultilevel"/>
    <w:tmpl w:val="A7A02F4E"/>
    <w:lvl w:ilvl="0" w:tplc="232A6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09E9"/>
    <w:multiLevelType w:val="hybridMultilevel"/>
    <w:tmpl w:val="8E9808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C719D"/>
    <w:multiLevelType w:val="hybridMultilevel"/>
    <w:tmpl w:val="42A41C9C"/>
    <w:lvl w:ilvl="0" w:tplc="9E466B0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proofState w:spelling="clean" w:grammar="clean"/>
  <w:attachedTemplate r:id="rId1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F56"/>
    <w:rsid w:val="0003328F"/>
    <w:rsid w:val="0004400E"/>
    <w:rsid w:val="0004721A"/>
    <w:rsid w:val="00053EBF"/>
    <w:rsid w:val="00063ED8"/>
    <w:rsid w:val="000B74CE"/>
    <w:rsid w:val="000C151B"/>
    <w:rsid w:val="000C198D"/>
    <w:rsid w:val="000C2465"/>
    <w:rsid w:val="000C504E"/>
    <w:rsid w:val="0011135F"/>
    <w:rsid w:val="00142AAB"/>
    <w:rsid w:val="0016006D"/>
    <w:rsid w:val="00195994"/>
    <w:rsid w:val="001B60D0"/>
    <w:rsid w:val="001D349C"/>
    <w:rsid w:val="001D4D23"/>
    <w:rsid w:val="001E2AEB"/>
    <w:rsid w:val="001E4A07"/>
    <w:rsid w:val="0021217E"/>
    <w:rsid w:val="002223FC"/>
    <w:rsid w:val="00240486"/>
    <w:rsid w:val="00267286"/>
    <w:rsid w:val="002834B2"/>
    <w:rsid w:val="002B6390"/>
    <w:rsid w:val="003040E0"/>
    <w:rsid w:val="00324292"/>
    <w:rsid w:val="00326141"/>
    <w:rsid w:val="00340E5F"/>
    <w:rsid w:val="00345B64"/>
    <w:rsid w:val="00370EC8"/>
    <w:rsid w:val="0037766B"/>
    <w:rsid w:val="003A15E9"/>
    <w:rsid w:val="003A791E"/>
    <w:rsid w:val="003B7C96"/>
    <w:rsid w:val="003D3232"/>
    <w:rsid w:val="003E5036"/>
    <w:rsid w:val="003F1497"/>
    <w:rsid w:val="003F647C"/>
    <w:rsid w:val="00401D30"/>
    <w:rsid w:val="00443AAF"/>
    <w:rsid w:val="004504C9"/>
    <w:rsid w:val="004669B4"/>
    <w:rsid w:val="004A046F"/>
    <w:rsid w:val="004A6F56"/>
    <w:rsid w:val="004D3B65"/>
    <w:rsid w:val="00506BC0"/>
    <w:rsid w:val="00507C7F"/>
    <w:rsid w:val="0053256F"/>
    <w:rsid w:val="00552460"/>
    <w:rsid w:val="00562123"/>
    <w:rsid w:val="005664C6"/>
    <w:rsid w:val="005B6005"/>
    <w:rsid w:val="005C5DE8"/>
    <w:rsid w:val="005C5F6C"/>
    <w:rsid w:val="005E1D70"/>
    <w:rsid w:val="006018F4"/>
    <w:rsid w:val="0062637C"/>
    <w:rsid w:val="00646BFC"/>
    <w:rsid w:val="00666C02"/>
    <w:rsid w:val="006678B6"/>
    <w:rsid w:val="00691777"/>
    <w:rsid w:val="00692393"/>
    <w:rsid w:val="006D586A"/>
    <w:rsid w:val="006F214D"/>
    <w:rsid w:val="006F232A"/>
    <w:rsid w:val="00742341"/>
    <w:rsid w:val="007648D8"/>
    <w:rsid w:val="007756D5"/>
    <w:rsid w:val="007C021F"/>
    <w:rsid w:val="007C3190"/>
    <w:rsid w:val="008145DC"/>
    <w:rsid w:val="008306DE"/>
    <w:rsid w:val="008474ED"/>
    <w:rsid w:val="00850890"/>
    <w:rsid w:val="00880FFE"/>
    <w:rsid w:val="00886307"/>
    <w:rsid w:val="008A3D4D"/>
    <w:rsid w:val="008B6A2E"/>
    <w:rsid w:val="008F2594"/>
    <w:rsid w:val="00901A86"/>
    <w:rsid w:val="00932124"/>
    <w:rsid w:val="00947BA3"/>
    <w:rsid w:val="00973D70"/>
    <w:rsid w:val="009C1FA6"/>
    <w:rsid w:val="009C2140"/>
    <w:rsid w:val="009F5C65"/>
    <w:rsid w:val="009F70E6"/>
    <w:rsid w:val="00A15FF4"/>
    <w:rsid w:val="00A563F4"/>
    <w:rsid w:val="00A60175"/>
    <w:rsid w:val="00A65FB0"/>
    <w:rsid w:val="00AB5AEE"/>
    <w:rsid w:val="00B46F24"/>
    <w:rsid w:val="00B60150"/>
    <w:rsid w:val="00B60928"/>
    <w:rsid w:val="00B664A8"/>
    <w:rsid w:val="00B72696"/>
    <w:rsid w:val="00B93109"/>
    <w:rsid w:val="00BA73F3"/>
    <w:rsid w:val="00C04FEF"/>
    <w:rsid w:val="00C536B3"/>
    <w:rsid w:val="00CC7AAB"/>
    <w:rsid w:val="00CD54D3"/>
    <w:rsid w:val="00D643A3"/>
    <w:rsid w:val="00D7533D"/>
    <w:rsid w:val="00DA6AE2"/>
    <w:rsid w:val="00DC7EF6"/>
    <w:rsid w:val="00DE061C"/>
    <w:rsid w:val="00DE07DE"/>
    <w:rsid w:val="00E03F44"/>
    <w:rsid w:val="00E14BCA"/>
    <w:rsid w:val="00E20009"/>
    <w:rsid w:val="00E26A84"/>
    <w:rsid w:val="00E645B4"/>
    <w:rsid w:val="00E82DCF"/>
    <w:rsid w:val="00EA591D"/>
    <w:rsid w:val="00ED2B8D"/>
    <w:rsid w:val="00EE3C02"/>
    <w:rsid w:val="00EE622B"/>
    <w:rsid w:val="00F42807"/>
    <w:rsid w:val="00F54E21"/>
    <w:rsid w:val="00F8065D"/>
    <w:rsid w:val="00F879E4"/>
    <w:rsid w:val="00F928DC"/>
    <w:rsid w:val="00FE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A2717"/>
  <w15:docId w15:val="{522F17B2-6A8D-42EA-BC54-59F7F6EF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BFC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Heading2">
    <w:name w:val="heading 2"/>
    <w:basedOn w:val="Normal"/>
    <w:link w:val="Heading2Char"/>
    <w:uiPriority w:val="9"/>
    <w:qFormat/>
    <w:rsid w:val="00EE622B"/>
    <w:pPr>
      <w:spacing w:before="100" w:beforeAutospacing="1" w:after="100" w:afterAutospacing="1" w:line="240" w:lineRule="auto"/>
      <w:jc w:val="left"/>
      <w:outlineLvl w:val="1"/>
    </w:pPr>
    <w:rPr>
      <w:b/>
      <w:color w:val="auto"/>
      <w:sz w:val="36"/>
      <w:szCs w:val="36"/>
      <w:lang w:val="hu-HU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622B"/>
    <w:pPr>
      <w:keepNext/>
      <w:keepLines/>
      <w:spacing w:before="40" w:line="240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hu-H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622B"/>
    <w:rPr>
      <w:rFonts w:ascii="Times New Roman" w:eastAsia="Times New Roman" w:hAnsi="Times New Roman"/>
      <w:b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62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46BFC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宋体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Normal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46BFC"/>
  </w:style>
  <w:style w:type="table" w:customStyle="1" w:styleId="MDPI41threelinetable">
    <w:name w:val="MDPI_4.1_three_line_table"/>
    <w:basedOn w:val="TableNormal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A791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0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rmalWeb">
    <w:name w:val="Normal (Web)"/>
    <w:basedOn w:val="Normal"/>
    <w:uiPriority w:val="99"/>
    <w:unhideWhenUsed/>
    <w:rsid w:val="00EE622B"/>
    <w:pPr>
      <w:spacing w:before="100" w:beforeAutospacing="1" w:after="100" w:afterAutospacing="1" w:line="240" w:lineRule="auto"/>
      <w:jc w:val="left"/>
    </w:pPr>
    <w:rPr>
      <w:color w:val="auto"/>
      <w:szCs w:val="24"/>
      <w:lang w:val="hu-HU" w:eastAsia="en-US"/>
    </w:rPr>
  </w:style>
  <w:style w:type="paragraph" w:customStyle="1" w:styleId="p">
    <w:name w:val="p"/>
    <w:basedOn w:val="Normal"/>
    <w:rsid w:val="00EE622B"/>
    <w:pPr>
      <w:spacing w:before="100" w:beforeAutospacing="1" w:after="100" w:afterAutospacing="1" w:line="240" w:lineRule="auto"/>
      <w:jc w:val="left"/>
    </w:pPr>
    <w:rPr>
      <w:color w:val="auto"/>
      <w:szCs w:val="24"/>
      <w:lang w:val="hu-HU" w:eastAsia="en-US"/>
    </w:rPr>
  </w:style>
  <w:style w:type="character" w:styleId="Emphasis">
    <w:name w:val="Emphasis"/>
    <w:basedOn w:val="DefaultParagraphFont"/>
    <w:uiPriority w:val="20"/>
    <w:qFormat/>
    <w:rsid w:val="00EE622B"/>
    <w:rPr>
      <w:i/>
      <w:iCs/>
    </w:rPr>
  </w:style>
  <w:style w:type="paragraph" w:customStyle="1" w:styleId="Default">
    <w:name w:val="Default"/>
    <w:rsid w:val="00EE622B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EE622B"/>
    <w:pPr>
      <w:spacing w:after="200" w:line="240" w:lineRule="auto"/>
      <w:jc w:val="left"/>
    </w:pPr>
    <w:rPr>
      <w:i/>
      <w:iCs/>
      <w:color w:val="44546A" w:themeColor="text2"/>
      <w:sz w:val="18"/>
      <w:szCs w:val="18"/>
      <w:lang w:val="hu-HU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EE622B"/>
    <w:pPr>
      <w:spacing w:line="240" w:lineRule="auto"/>
      <w:jc w:val="left"/>
    </w:pPr>
    <w:rPr>
      <w:color w:val="auto"/>
      <w:sz w:val="20"/>
      <w:lang w:val="hu-H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22B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34"/>
    <w:qFormat/>
    <w:rsid w:val="00EE622B"/>
    <w:pPr>
      <w:spacing w:line="240" w:lineRule="auto"/>
      <w:ind w:left="720"/>
      <w:contextualSpacing/>
      <w:jc w:val="left"/>
    </w:pPr>
    <w:rPr>
      <w:color w:val="auto"/>
      <w:szCs w:val="24"/>
      <w:lang w:val="hu-HU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6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auto"/>
      <w:sz w:val="20"/>
      <w:lang w:val="hu-HU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622B"/>
    <w:rPr>
      <w:rFonts w:ascii="Courier New" w:eastAsia="Times New Roman" w:hAnsi="Courier New" w:cs="Courier New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22B"/>
    <w:rPr>
      <w:rFonts w:ascii="Times New Roman" w:eastAsia="Times New Roman" w:hAnsi="Times New Roman"/>
      <w:b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22B"/>
    <w:rPr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22B"/>
    <w:pPr>
      <w:keepNext/>
      <w:numPr>
        <w:ilvl w:val="1"/>
      </w:numPr>
      <w:spacing w:before="360" w:after="240" w:line="240" w:lineRule="auto"/>
      <w:jc w:val="left"/>
    </w:pPr>
    <w:rPr>
      <w:rFonts w:eastAsiaTheme="minorEastAsia"/>
      <w:b/>
      <w:color w:val="auto"/>
      <w:szCs w:val="22"/>
      <w:lang w:val="hu-HU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E622B"/>
    <w:rPr>
      <w:rFonts w:ascii="Times New Roman" w:eastAsiaTheme="minorEastAsia" w:hAnsi="Times New Roman"/>
      <w:b/>
      <w:sz w:val="24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E622B"/>
    <w:pPr>
      <w:spacing w:before="480" w:after="240" w:line="240" w:lineRule="auto"/>
      <w:contextualSpacing/>
      <w:jc w:val="left"/>
    </w:pPr>
    <w:rPr>
      <w:rFonts w:eastAsiaTheme="majorEastAsia" w:cstheme="majorBidi"/>
      <w:b/>
      <w:color w:val="auto"/>
      <w:szCs w:val="56"/>
      <w:lang w:val="hu-H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E622B"/>
    <w:rPr>
      <w:rFonts w:ascii="Times New Roman" w:eastAsiaTheme="majorEastAsia" w:hAnsi="Times New Roman" w:cstheme="majorBidi"/>
      <w:b/>
      <w:sz w:val="24"/>
      <w:szCs w:val="56"/>
      <w:lang w:eastAsia="en-US"/>
    </w:rPr>
  </w:style>
  <w:style w:type="paragraph" w:styleId="NoSpacing">
    <w:name w:val="No Spacing"/>
    <w:uiPriority w:val="1"/>
    <w:qFormat/>
    <w:rsid w:val="00EE622B"/>
    <w:rPr>
      <w:rFonts w:ascii="Times New Roman" w:eastAsia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EE622B"/>
    <w:rPr>
      <w:b/>
      <w:bCs/>
    </w:rPr>
  </w:style>
  <w:style w:type="character" w:customStyle="1" w:styleId="highlight">
    <w:name w:val="highlight"/>
    <w:basedOn w:val="DefaultParagraphFont"/>
    <w:rsid w:val="00EE622B"/>
  </w:style>
  <w:style w:type="character" w:styleId="FollowedHyperlink">
    <w:name w:val="FollowedHyperlink"/>
    <w:basedOn w:val="DefaultParagraphFont"/>
    <w:uiPriority w:val="99"/>
    <w:semiHidden/>
    <w:unhideWhenUsed/>
    <w:rsid w:val="00973D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S\science\Hamar\LPS\LPS%20Acute%20Phase%20Proteins%20ms%20RB\3rd%20attempt%20IJMS\ijms-template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7BD9D-D4AB-4913-A583-70FEE895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ijms-template.dot</Template>
  <TotalTime>2</TotalTime>
  <Pages>2</Pages>
  <Words>334</Words>
  <Characters>2182</Characters>
  <Application>Microsoft Office Word</Application>
  <DocSecurity>0</DocSecurity>
  <Lines>165</Lines>
  <Paragraphs>134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MDPI</cp:lastModifiedBy>
  <cp:revision>3</cp:revision>
  <dcterms:created xsi:type="dcterms:W3CDTF">2019-12-27T01:23:00Z</dcterms:created>
  <dcterms:modified xsi:type="dcterms:W3CDTF">2019-12-27T01:36:00Z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http://www.zotero.org/styles/asaio-journal</vt:lpwstr>
  </property>
  <property fmtid="{D5CDD505-2E9C-101B-9397-08002B2CF9AE}" pid="3" name="Mendeley Recent Style Name 0_1">
    <vt:lpwstr>ASAIO Journal (American Society for Artificial Internal Organs)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http://www.zotero.org/styles/american-political-science-association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http://www.zotero.org/styles/international-journal-of-molecular-sciences</vt:lpwstr>
  </property>
  <property fmtid="{D5CDD505-2E9C-101B-9397-08002B2CF9AE}" pid="11" name="Mendeley Recent Style Name 4_1">
    <vt:lpwstr>International Journal of Molecular Sciences</vt:lpwstr>
  </property>
  <property fmtid="{D5CDD505-2E9C-101B-9397-08002B2CF9AE}" pid="12" name="Mendeley Recent Style Id 5_1">
    <vt:lpwstr>http://www.zotero.org/styles/journal-of-controlled-release</vt:lpwstr>
  </property>
  <property fmtid="{D5CDD505-2E9C-101B-9397-08002B2CF9AE}" pid="13" name="Mendeley Recent Style Name 5_1">
    <vt:lpwstr>Journal of Controlled Release</vt:lpwstr>
  </property>
  <property fmtid="{D5CDD505-2E9C-101B-9397-08002B2CF9AE}" pid="14" name="Mendeley Recent Style Id 6_1">
    <vt:lpwstr>http://www.zotero.org/styles/journal-of-oral-and-maxillofacial-surgery</vt:lpwstr>
  </property>
  <property fmtid="{D5CDD505-2E9C-101B-9397-08002B2CF9AE}" pid="15" name="Mendeley Recent Style Name 6_1">
    <vt:lpwstr>Journal of Oral and Maxillofacial Surgery</vt:lpwstr>
  </property>
  <property fmtid="{D5CDD505-2E9C-101B-9397-08002B2CF9AE}" pid="16" name="Mendeley Recent Style Id 7_1">
    <vt:lpwstr>http://www.zotero.org/styles/journal-of-the-american-society-of-cytopathology</vt:lpwstr>
  </property>
  <property fmtid="{D5CDD505-2E9C-101B-9397-08002B2CF9AE}" pid="17" name="Mendeley Recent Style Name 7_1">
    <vt:lpwstr>Journal of the American Society of Cytopathology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http://www.zotero.org/styles/international-journal-of-molecular-sciences</vt:lpwstr>
  </property>
  <property fmtid="{D5CDD505-2E9C-101B-9397-08002B2CF9AE}" pid="24" name="Mendeley Unique User Id_1">
    <vt:lpwstr>cc44fae8-0a2f-3f65-8a8f-27d2e0315446</vt:lpwstr>
  </property>
</Properties>
</file>