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842" w:rsidRPr="00EF175A" w:rsidRDefault="00FF79CA" w:rsidP="000D3149">
      <w:pPr>
        <w:pStyle w:val="1"/>
        <w:wordWrap/>
        <w:ind w:firstLine="0"/>
        <w:rPr>
          <w:color w:val="auto"/>
        </w:rPr>
      </w:pPr>
      <w:r w:rsidRPr="00EF175A">
        <w:rPr>
          <w:color w:val="auto"/>
        </w:rPr>
        <w:t>Abbreviation and t</w:t>
      </w:r>
      <w:r w:rsidR="000D3149" w:rsidRPr="00EF175A">
        <w:rPr>
          <w:rFonts w:hint="eastAsia"/>
          <w:color w:val="auto"/>
        </w:rPr>
        <w:t xml:space="preserve">erminology </w:t>
      </w:r>
      <w:r w:rsidR="00F2706A" w:rsidRPr="00EF175A">
        <w:rPr>
          <w:color w:val="auto"/>
        </w:rPr>
        <w:t xml:space="preserve">list </w:t>
      </w:r>
    </w:p>
    <w:p w:rsidR="00FF79CA" w:rsidRPr="00EF175A" w:rsidRDefault="00FF79CA" w:rsidP="000D3149">
      <w:pPr>
        <w:pStyle w:val="1"/>
        <w:wordWrap/>
        <w:ind w:firstLine="0"/>
        <w:rPr>
          <w:color w:val="auto"/>
        </w:rPr>
      </w:pPr>
    </w:p>
    <w:p w:rsidR="000D3149" w:rsidRPr="00EF175A" w:rsidRDefault="00F2706A" w:rsidP="00F2706A">
      <w:pPr>
        <w:pStyle w:val="1"/>
        <w:wordWrap/>
        <w:ind w:firstLine="0"/>
        <w:rPr>
          <w:color w:val="auto"/>
        </w:rPr>
      </w:pPr>
      <w:r w:rsidRPr="00EF175A">
        <w:rPr>
          <w:color w:val="auto"/>
        </w:rPr>
        <w:t>#1.</w:t>
      </w:r>
      <w:r w:rsidR="002C5865" w:rsidRPr="00EF175A">
        <w:rPr>
          <w:b/>
          <w:color w:val="auto"/>
        </w:rPr>
        <w:t xml:space="preserve"> </w:t>
      </w:r>
      <w:r w:rsidRPr="00EF175A">
        <w:rPr>
          <w:b/>
          <w:color w:val="auto"/>
        </w:rPr>
        <w:t>‘Chemocentric assumption’</w:t>
      </w:r>
      <w:r w:rsidRPr="00EF175A">
        <w:rPr>
          <w:color w:val="auto"/>
        </w:rPr>
        <w:t xml:space="preserve"> </w:t>
      </w:r>
      <w:r w:rsidR="000D3149" w:rsidRPr="00EF175A">
        <w:rPr>
          <w:color w:val="auto"/>
        </w:rPr>
        <w:t>means two similar molecules are likely to have similar properties</w:t>
      </w:r>
      <w:r w:rsidR="00FF79CA" w:rsidRPr="00EF175A">
        <w:rPr>
          <w:color w:val="auto"/>
        </w:rPr>
        <w:t xml:space="preserve"> so two similar molecules</w:t>
      </w:r>
      <w:r w:rsidR="000D3149" w:rsidRPr="00EF175A">
        <w:rPr>
          <w:color w:val="auto"/>
        </w:rPr>
        <w:t xml:space="preserve"> can share biological targets or can show similar pharmacologica</w:t>
      </w:r>
      <w:r w:rsidR="00FF79CA" w:rsidRPr="00EF175A">
        <w:rPr>
          <w:color w:val="auto"/>
        </w:rPr>
        <w:t>l profile.</w:t>
      </w:r>
    </w:p>
    <w:p w:rsidR="000D3149" w:rsidRPr="00EF175A" w:rsidRDefault="000D3149" w:rsidP="000D3149">
      <w:pPr>
        <w:widowControl/>
        <w:wordWrap/>
        <w:autoSpaceDE/>
        <w:autoSpaceDN/>
        <w:snapToGrid w:val="0"/>
        <w:spacing w:line="480" w:lineRule="auto"/>
        <w:rPr>
          <w:rFonts w:ascii="Times New Roman" w:eastAsia="바탕" w:hAnsi="Times New Roman"/>
          <w:kern w:val="0"/>
          <w:sz w:val="24"/>
          <w:szCs w:val="24"/>
        </w:rPr>
      </w:pPr>
    </w:p>
    <w:p w:rsidR="00F15C8F" w:rsidRPr="00EF175A" w:rsidRDefault="000D3149" w:rsidP="00F15C8F">
      <w:pPr>
        <w:pStyle w:val="1"/>
        <w:wordWrap/>
        <w:ind w:firstLine="0"/>
        <w:rPr>
          <w:color w:val="auto"/>
        </w:rPr>
      </w:pPr>
      <w:r w:rsidRPr="00EF175A">
        <w:rPr>
          <w:color w:val="auto"/>
        </w:rPr>
        <w:t xml:space="preserve">#2. </w:t>
      </w:r>
      <w:r w:rsidR="00F15C8F" w:rsidRPr="00EF175A">
        <w:rPr>
          <w:b/>
          <w:color w:val="auto"/>
        </w:rPr>
        <w:t>‘Molecular framework’</w:t>
      </w:r>
      <w:r w:rsidR="00F15C8F" w:rsidRPr="00EF175A">
        <w:rPr>
          <w:color w:val="auto"/>
        </w:rPr>
        <w:t xml:space="preserve"> means topological composition of a compound consisting of atoms and bonds, which generate rings, ring systems, and side-chains. For example, Bemis-Murcho framework is also a famous molecular framework. In drug discovery, ‘drug scaffold’ indicates molecular framework having drug-like properties. I</w:t>
      </w:r>
      <w:bookmarkStart w:id="0" w:name="_GoBack"/>
      <w:bookmarkEnd w:id="0"/>
      <w:r w:rsidR="00F15C8F" w:rsidRPr="00EF175A">
        <w:rPr>
          <w:color w:val="auto"/>
        </w:rPr>
        <w:t xml:space="preserve">n particular, organic synthetic principles and core structure (generally, ring system) have been used to classify drug scaffolds. </w:t>
      </w:r>
      <w:r w:rsidR="00F15C8F" w:rsidRPr="00EF175A">
        <w:rPr>
          <w:b/>
          <w:color w:val="auto"/>
        </w:rPr>
        <w:t xml:space="preserve">‘Unprecedented molecular framework’ </w:t>
      </w:r>
      <w:r w:rsidR="00F15C8F" w:rsidRPr="00EF175A">
        <w:rPr>
          <w:color w:val="auto"/>
        </w:rPr>
        <w:t xml:space="preserve">means new molecular framework different from existing molecular frameworks. </w:t>
      </w:r>
      <w:r w:rsidR="00097B0F" w:rsidRPr="00EF175A">
        <w:rPr>
          <w:color w:val="auto"/>
        </w:rPr>
        <w:t>Typically, a novel scaffold means distinct scaffold from known drug scaffolds</w:t>
      </w:r>
      <w:r w:rsidR="00F15C8F" w:rsidRPr="00EF175A">
        <w:rPr>
          <w:color w:val="auto"/>
        </w:rPr>
        <w:t xml:space="preserve"> within a target</w:t>
      </w:r>
      <w:r w:rsidR="005039F1" w:rsidRPr="00EF175A">
        <w:rPr>
          <w:color w:val="auto"/>
        </w:rPr>
        <w:t>. However, ‘novel’ cannot mean</w:t>
      </w:r>
      <w:r w:rsidR="00097B0F" w:rsidRPr="00EF175A">
        <w:rPr>
          <w:color w:val="auto"/>
        </w:rPr>
        <w:t xml:space="preserve"> ‘first existing’. ‘Unprecedented’ means ‘not existing before the first’.</w:t>
      </w:r>
    </w:p>
    <w:p w:rsidR="000D3149" w:rsidRPr="00EF175A" w:rsidRDefault="000D3149" w:rsidP="000D3149">
      <w:pPr>
        <w:pStyle w:val="1"/>
        <w:wordWrap/>
        <w:ind w:firstLine="0"/>
        <w:rPr>
          <w:color w:val="auto"/>
        </w:rPr>
      </w:pPr>
    </w:p>
    <w:p w:rsidR="00AA5FD6" w:rsidRPr="00EF175A" w:rsidRDefault="00F2706A" w:rsidP="00AA5FD6">
      <w:pPr>
        <w:pStyle w:val="1"/>
        <w:wordWrap/>
        <w:ind w:firstLine="0"/>
        <w:rPr>
          <w:color w:val="auto"/>
        </w:rPr>
      </w:pPr>
      <w:r w:rsidRPr="00EF175A">
        <w:rPr>
          <w:color w:val="auto"/>
        </w:rPr>
        <w:t>#</w:t>
      </w:r>
      <w:r w:rsidR="002C5865" w:rsidRPr="00EF175A">
        <w:rPr>
          <w:color w:val="auto"/>
        </w:rPr>
        <w:t>3</w:t>
      </w:r>
      <w:r w:rsidRPr="00EF175A">
        <w:rPr>
          <w:color w:val="auto"/>
        </w:rPr>
        <w:t xml:space="preserve">. </w:t>
      </w:r>
      <w:r w:rsidR="000E2E45" w:rsidRPr="00EF175A">
        <w:rPr>
          <w:b/>
          <w:color w:val="auto"/>
        </w:rPr>
        <w:t>‘</w:t>
      </w:r>
      <w:r w:rsidRPr="00EF175A">
        <w:rPr>
          <w:b/>
          <w:color w:val="auto"/>
        </w:rPr>
        <w:t>maximum likelihood (ML) estimation</w:t>
      </w:r>
      <w:r w:rsidR="000E2E45" w:rsidRPr="00EF175A">
        <w:rPr>
          <w:b/>
          <w:color w:val="auto"/>
        </w:rPr>
        <w:t>’</w:t>
      </w:r>
      <w:r w:rsidR="00AA5FD6" w:rsidRPr="00EF175A">
        <w:rPr>
          <w:b/>
          <w:color w:val="auto"/>
        </w:rPr>
        <w:t xml:space="preserve"> </w:t>
      </w:r>
      <w:r w:rsidR="007C3FB5" w:rsidRPr="00EF175A">
        <w:rPr>
          <w:color w:val="auto"/>
        </w:rPr>
        <w:t>is a method of estimating the parameters of a probability density distribution by maximizing a likelihood function, so that under the assumed statistical model the observed data is most probable. In this study, since the statistical model is normal distribution, the parameters are mean (μ) and standard deviation (σ). If sigma=sigma_1 and mu= mu_1, likelihood function is maximized and g(x: mu_1, sigma_1) is the most similar distribution with the distribution from observed data.</w:t>
      </w:r>
    </w:p>
    <w:p w:rsidR="007C3FB5" w:rsidRPr="00EF175A" w:rsidRDefault="007C3FB5" w:rsidP="00AA5FD6">
      <w:pPr>
        <w:pStyle w:val="1"/>
        <w:wordWrap/>
        <w:ind w:firstLine="0"/>
        <w:rPr>
          <w:color w:val="auto"/>
        </w:rPr>
      </w:pPr>
    </w:p>
    <w:p w:rsidR="00AA5FD6" w:rsidRPr="00EF175A" w:rsidRDefault="00AA5FD6" w:rsidP="002C5865">
      <w:pPr>
        <w:pStyle w:val="1"/>
        <w:wordWrap/>
        <w:ind w:firstLine="0"/>
        <w:rPr>
          <w:color w:val="auto"/>
        </w:rPr>
      </w:pPr>
      <w:r w:rsidRPr="00EF175A">
        <w:rPr>
          <w:color w:val="auto"/>
        </w:rPr>
        <w:t>#</w:t>
      </w:r>
      <w:r w:rsidR="000E2E45" w:rsidRPr="00EF175A">
        <w:rPr>
          <w:color w:val="auto"/>
        </w:rPr>
        <w:t>4.</w:t>
      </w:r>
      <w:r w:rsidRPr="00EF175A">
        <w:rPr>
          <w:b/>
          <w:color w:val="auto"/>
        </w:rPr>
        <w:t xml:space="preserve"> </w:t>
      </w:r>
      <w:r w:rsidR="000E2E45" w:rsidRPr="00EF175A">
        <w:rPr>
          <w:b/>
          <w:color w:val="auto"/>
        </w:rPr>
        <w:t>‘</w:t>
      </w:r>
      <w:r w:rsidRPr="00EF175A">
        <w:rPr>
          <w:b/>
          <w:color w:val="auto"/>
        </w:rPr>
        <w:t>Gaussian mixture model (GMM)</w:t>
      </w:r>
      <w:r w:rsidR="000E2E45" w:rsidRPr="00EF175A">
        <w:rPr>
          <w:b/>
          <w:color w:val="auto"/>
        </w:rPr>
        <w:t>’</w:t>
      </w:r>
      <w:r w:rsidRPr="00EF175A">
        <w:rPr>
          <w:color w:val="auto"/>
        </w:rPr>
        <w:t xml:space="preserve"> </w:t>
      </w:r>
      <w:r w:rsidR="002C5865" w:rsidRPr="00EF175A">
        <w:rPr>
          <w:color w:val="auto"/>
        </w:rPr>
        <w:t>is a method that analyze</w:t>
      </w:r>
      <w:r w:rsidR="005039F1" w:rsidRPr="00EF175A">
        <w:rPr>
          <w:color w:val="auto"/>
        </w:rPr>
        <w:t>s</w:t>
      </w:r>
      <w:r w:rsidR="002C5865" w:rsidRPr="00EF175A">
        <w:rPr>
          <w:color w:val="auto"/>
        </w:rPr>
        <w:t xml:space="preserve"> compositional data using mixed Gaussian distributions (one or multiple) as a probability density distribution. In general, </w:t>
      </w:r>
      <w:r w:rsidR="002C5865" w:rsidRPr="00EF175A">
        <w:rPr>
          <w:color w:val="auto"/>
        </w:rPr>
        <w:lastRenderedPageBreak/>
        <w:t>GMM i</w:t>
      </w:r>
      <w:r w:rsidR="005039F1" w:rsidRPr="00EF175A">
        <w:rPr>
          <w:color w:val="auto"/>
        </w:rPr>
        <w:t xml:space="preserve">s used for clustering of data. </w:t>
      </w:r>
      <w:r w:rsidR="002C5865" w:rsidRPr="00EF175A">
        <w:rPr>
          <w:color w:val="auto"/>
        </w:rPr>
        <w:t xml:space="preserve">At that time, one cluster means one Gaussian distribution. </w:t>
      </w:r>
    </w:p>
    <w:p w:rsidR="002C5865" w:rsidRPr="00EF175A" w:rsidRDefault="002C5865" w:rsidP="002C5865">
      <w:pPr>
        <w:pStyle w:val="1"/>
        <w:wordWrap/>
        <w:ind w:firstLine="0"/>
        <w:rPr>
          <w:color w:val="auto"/>
        </w:rPr>
      </w:pPr>
    </w:p>
    <w:p w:rsidR="00F2706A" w:rsidRPr="00EF175A" w:rsidRDefault="00AA5FD6" w:rsidP="00AA5FD6">
      <w:pPr>
        <w:pStyle w:val="1"/>
        <w:wordWrap/>
        <w:ind w:firstLine="0"/>
        <w:rPr>
          <w:color w:val="auto"/>
        </w:rPr>
      </w:pPr>
      <w:r w:rsidRPr="00EF175A">
        <w:rPr>
          <w:color w:val="auto"/>
        </w:rPr>
        <w:t>#</w:t>
      </w:r>
      <w:r w:rsidR="000E2E45" w:rsidRPr="00EF175A">
        <w:rPr>
          <w:color w:val="auto"/>
        </w:rPr>
        <w:t>5</w:t>
      </w:r>
      <w:r w:rsidR="002C5865" w:rsidRPr="00EF175A">
        <w:rPr>
          <w:color w:val="auto"/>
        </w:rPr>
        <w:t>.</w:t>
      </w:r>
      <w:r w:rsidRPr="00EF175A">
        <w:rPr>
          <w:color w:val="auto"/>
        </w:rPr>
        <w:t xml:space="preserve"> </w:t>
      </w:r>
      <w:r w:rsidR="000E2E45" w:rsidRPr="00EF175A">
        <w:rPr>
          <w:b/>
          <w:color w:val="auto"/>
        </w:rPr>
        <w:t>‘</w:t>
      </w:r>
      <w:r w:rsidRPr="00EF175A">
        <w:rPr>
          <w:b/>
          <w:color w:val="auto"/>
        </w:rPr>
        <w:t>expectation–maximization (EM) algorithm</w:t>
      </w:r>
      <w:r w:rsidR="000E2E45" w:rsidRPr="00EF175A">
        <w:rPr>
          <w:b/>
          <w:color w:val="auto"/>
        </w:rPr>
        <w:t>’</w:t>
      </w:r>
      <w:r w:rsidR="002C5865" w:rsidRPr="00EF175A">
        <w:rPr>
          <w:b/>
          <w:color w:val="auto"/>
        </w:rPr>
        <w:t xml:space="preserve"> </w:t>
      </w:r>
      <w:r w:rsidR="002C5865" w:rsidRPr="00EF175A">
        <w:rPr>
          <w:color w:val="auto"/>
        </w:rPr>
        <w:t>is</w:t>
      </w:r>
      <w:r w:rsidR="002C5865" w:rsidRPr="00EF175A">
        <w:rPr>
          <w:b/>
          <w:color w:val="auto"/>
        </w:rPr>
        <w:t xml:space="preserve"> </w:t>
      </w:r>
      <w:r w:rsidR="002C5865" w:rsidRPr="00EF175A">
        <w:rPr>
          <w:color w:val="auto"/>
        </w:rPr>
        <w:t>an iterative method to find maximum likelihood or maximum a posteriori estimates of parameters in statistical models, where the model depends on unobserved latent variables.</w:t>
      </w:r>
    </w:p>
    <w:p w:rsidR="002C5865" w:rsidRPr="00EF175A" w:rsidRDefault="002C5865" w:rsidP="00AA5FD6">
      <w:pPr>
        <w:pStyle w:val="1"/>
        <w:wordWrap/>
        <w:ind w:firstLine="0"/>
        <w:rPr>
          <w:b/>
          <w:color w:val="auto"/>
        </w:rPr>
      </w:pPr>
    </w:p>
    <w:p w:rsidR="00AA5FD6" w:rsidRPr="00EF175A" w:rsidRDefault="002C5865" w:rsidP="00AA5FD6">
      <w:pPr>
        <w:pStyle w:val="1"/>
        <w:wordWrap/>
        <w:ind w:firstLine="0"/>
        <w:rPr>
          <w:b/>
          <w:color w:val="auto"/>
        </w:rPr>
      </w:pPr>
      <w:r w:rsidRPr="00EF175A">
        <w:rPr>
          <w:color w:val="auto"/>
        </w:rPr>
        <w:t>#</w:t>
      </w:r>
      <w:r w:rsidR="000E2E45" w:rsidRPr="00EF175A">
        <w:rPr>
          <w:color w:val="auto"/>
        </w:rPr>
        <w:t>6</w:t>
      </w:r>
      <w:r w:rsidRPr="00EF175A">
        <w:rPr>
          <w:color w:val="auto"/>
        </w:rPr>
        <w:t>.</w:t>
      </w:r>
      <w:r w:rsidRPr="00EF175A">
        <w:rPr>
          <w:b/>
          <w:color w:val="auto"/>
        </w:rPr>
        <w:t xml:space="preserve"> ‘</w:t>
      </w:r>
      <w:r w:rsidR="00AA5FD6" w:rsidRPr="00EF175A">
        <w:rPr>
          <w:b/>
          <w:color w:val="auto"/>
        </w:rPr>
        <w:t>discriminativeness</w:t>
      </w:r>
      <w:r w:rsidRPr="00EF175A">
        <w:rPr>
          <w:b/>
          <w:color w:val="auto"/>
        </w:rPr>
        <w:t>’</w:t>
      </w:r>
      <w:r w:rsidR="00AA5FD6" w:rsidRPr="00EF175A">
        <w:rPr>
          <w:b/>
          <w:color w:val="auto"/>
        </w:rPr>
        <w:t xml:space="preserve"> in Kullback–Leibler (K–L) divergence</w:t>
      </w:r>
      <w:r w:rsidR="0083462B" w:rsidRPr="00EF175A">
        <w:rPr>
          <w:b/>
          <w:color w:val="auto"/>
        </w:rPr>
        <w:t>:</w:t>
      </w:r>
    </w:p>
    <w:p w:rsidR="00AA5FD6" w:rsidRPr="00EF175A" w:rsidRDefault="002C5865" w:rsidP="00AA5FD6">
      <w:pPr>
        <w:pStyle w:val="1"/>
        <w:wordWrap/>
        <w:ind w:firstLine="0"/>
        <w:rPr>
          <w:color w:val="auto"/>
        </w:rPr>
      </w:pPr>
      <w:r w:rsidRPr="00EF175A">
        <w:rPr>
          <w:color w:val="auto"/>
        </w:rPr>
        <w:t>When two objects are compared, the goal of the comparison is finding different or common feature between them. The goal of Kullback–Leibler (K–L) divergence</w:t>
      </w:r>
      <w:r w:rsidR="00D23F0C" w:rsidRPr="00EF175A">
        <w:rPr>
          <w:color w:val="auto"/>
        </w:rPr>
        <w:t xml:space="preserve"> is measuring the difference but not the </w:t>
      </w:r>
      <w:r w:rsidR="005039F1" w:rsidRPr="00EF175A">
        <w:rPr>
          <w:color w:val="auto"/>
        </w:rPr>
        <w:t>commonality</w:t>
      </w:r>
      <w:r w:rsidR="00D23F0C" w:rsidRPr="00EF175A">
        <w:rPr>
          <w:color w:val="auto"/>
        </w:rPr>
        <w:t>. ‘discriminativeness’</w:t>
      </w:r>
      <w:r w:rsidR="000E2E45" w:rsidRPr="00EF175A">
        <w:rPr>
          <w:color w:val="auto"/>
        </w:rPr>
        <w:t xml:space="preserve"> is the condition comparing the</w:t>
      </w:r>
      <w:r w:rsidR="00AA5FD6" w:rsidRPr="00EF175A">
        <w:rPr>
          <w:color w:val="auto"/>
        </w:rPr>
        <w:t xml:space="preserve"> difference. </w:t>
      </w:r>
      <w:r w:rsidR="00D23F0C" w:rsidRPr="00EF175A">
        <w:rPr>
          <w:color w:val="auto"/>
        </w:rPr>
        <w:t>T</w:t>
      </w:r>
      <w:r w:rsidR="00AA5FD6" w:rsidRPr="00EF175A">
        <w:rPr>
          <w:color w:val="auto"/>
        </w:rPr>
        <w:t xml:space="preserve">he words, ‘discriminate, discrimination’ </w:t>
      </w:r>
      <w:r w:rsidR="000E2E45" w:rsidRPr="00EF175A">
        <w:rPr>
          <w:color w:val="auto"/>
        </w:rPr>
        <w:t xml:space="preserve">also </w:t>
      </w:r>
      <w:r w:rsidR="00AA5FD6" w:rsidRPr="00EF175A">
        <w:rPr>
          <w:color w:val="auto"/>
        </w:rPr>
        <w:t xml:space="preserve">exist </w:t>
      </w:r>
      <w:r w:rsidR="00D23F0C" w:rsidRPr="00EF175A">
        <w:rPr>
          <w:color w:val="auto"/>
        </w:rPr>
        <w:t>in the original article having Kullback and Leibler’s definition.</w:t>
      </w:r>
    </w:p>
    <w:p w:rsidR="000E2E45" w:rsidRPr="00EF175A" w:rsidRDefault="000E2E45" w:rsidP="00AA5FD6">
      <w:pPr>
        <w:pStyle w:val="1"/>
        <w:wordWrap/>
        <w:ind w:firstLine="0"/>
        <w:rPr>
          <w:color w:val="auto"/>
        </w:rPr>
      </w:pPr>
    </w:p>
    <w:p w:rsidR="000E2E45" w:rsidRPr="00EF175A" w:rsidRDefault="000E2E45" w:rsidP="000E2E45">
      <w:pPr>
        <w:pStyle w:val="1"/>
        <w:wordWrap/>
        <w:ind w:firstLine="0"/>
        <w:rPr>
          <w:color w:val="auto"/>
        </w:rPr>
      </w:pPr>
      <w:r w:rsidRPr="00EF175A">
        <w:rPr>
          <w:color w:val="auto"/>
        </w:rPr>
        <w:t>#7.</w:t>
      </w:r>
      <w:r w:rsidR="001E35EE" w:rsidRPr="00EF175A">
        <w:rPr>
          <w:b/>
          <w:color w:val="auto"/>
        </w:rPr>
        <w:t xml:space="preserve"> </w:t>
      </w:r>
      <w:r w:rsidRPr="00EF175A">
        <w:rPr>
          <w:b/>
          <w:color w:val="auto"/>
        </w:rPr>
        <w:t>‘target class’</w:t>
      </w:r>
      <w:r w:rsidR="0083462B" w:rsidRPr="00EF175A">
        <w:rPr>
          <w:b/>
          <w:color w:val="auto"/>
        </w:rPr>
        <w:t>:</w:t>
      </w:r>
    </w:p>
    <w:p w:rsidR="000E2E45" w:rsidRPr="00EF175A" w:rsidRDefault="000E2E45" w:rsidP="00AA5FD6">
      <w:pPr>
        <w:pStyle w:val="1"/>
        <w:wordWrap/>
        <w:ind w:firstLine="0"/>
        <w:rPr>
          <w:color w:val="auto"/>
        </w:rPr>
      </w:pPr>
      <w:r w:rsidRPr="00EF175A">
        <w:rPr>
          <w:color w:val="auto"/>
        </w:rPr>
        <w:t xml:space="preserve">In drug discovery, </w:t>
      </w:r>
      <w:r w:rsidR="0083462B" w:rsidRPr="00EF175A">
        <w:rPr>
          <w:color w:val="auto"/>
        </w:rPr>
        <w:t>‘target class’</w:t>
      </w:r>
      <w:r w:rsidRPr="00EF175A">
        <w:rPr>
          <w:color w:val="auto"/>
        </w:rPr>
        <w:t xml:space="preserve"> means higher hierarchy </w:t>
      </w:r>
      <w:r w:rsidR="0083462B" w:rsidRPr="00EF175A">
        <w:rPr>
          <w:color w:val="auto"/>
        </w:rPr>
        <w:t xml:space="preserve">of targets </w:t>
      </w:r>
      <w:r w:rsidRPr="00EF175A">
        <w:rPr>
          <w:color w:val="auto"/>
        </w:rPr>
        <w:t>such as nuclear receptor, GPCR, kinase</w:t>
      </w:r>
      <w:r w:rsidR="0083462B" w:rsidRPr="00EF175A">
        <w:rPr>
          <w:color w:val="auto"/>
        </w:rPr>
        <w:t>, protease, ion channel. In this study, ‘target class’ is</w:t>
      </w:r>
      <w:r w:rsidRPr="00EF175A">
        <w:rPr>
          <w:color w:val="auto"/>
        </w:rPr>
        <w:t xml:space="preserve"> a group of chemical ligands annotated with one target. </w:t>
      </w:r>
      <w:r w:rsidR="0083462B" w:rsidRPr="00EF175A">
        <w:rPr>
          <w:color w:val="auto"/>
        </w:rPr>
        <w:t>The terminology, ‘target class’ was used</w:t>
      </w:r>
      <w:r w:rsidRPr="00EF175A">
        <w:rPr>
          <w:color w:val="auto"/>
        </w:rPr>
        <w:t xml:space="preserve"> to escape the confusion between a target protein and ligands of a targets.</w:t>
      </w:r>
    </w:p>
    <w:p w:rsidR="00F2706A" w:rsidRPr="00EF175A" w:rsidRDefault="00F2706A" w:rsidP="00F2706A">
      <w:pPr>
        <w:pStyle w:val="1"/>
        <w:wordWrap/>
        <w:ind w:firstLine="0"/>
        <w:rPr>
          <w:b/>
          <w:color w:val="auto"/>
        </w:rPr>
      </w:pPr>
    </w:p>
    <w:p w:rsidR="000D3149" w:rsidRPr="00EF175A" w:rsidRDefault="00F2706A" w:rsidP="000D3149">
      <w:pPr>
        <w:pStyle w:val="1"/>
        <w:wordWrap/>
        <w:ind w:firstLine="0"/>
        <w:rPr>
          <w:color w:val="auto"/>
        </w:rPr>
      </w:pPr>
      <w:r w:rsidRPr="00EF175A">
        <w:rPr>
          <w:rFonts w:hint="eastAsia"/>
          <w:color w:val="auto"/>
        </w:rPr>
        <w:t>#</w:t>
      </w:r>
      <w:r w:rsidR="000E2E45" w:rsidRPr="00EF175A">
        <w:rPr>
          <w:color w:val="auto"/>
        </w:rPr>
        <w:t>8</w:t>
      </w:r>
      <w:r w:rsidR="001E35EE" w:rsidRPr="00EF175A">
        <w:rPr>
          <w:rFonts w:hint="eastAsia"/>
          <w:color w:val="auto"/>
        </w:rPr>
        <w:t>.</w:t>
      </w:r>
      <w:r w:rsidR="001E35EE" w:rsidRPr="00EF175A">
        <w:rPr>
          <w:color w:val="auto"/>
        </w:rPr>
        <w:t xml:space="preserve"> </w:t>
      </w:r>
      <w:r w:rsidR="000D3149" w:rsidRPr="00EF175A">
        <w:rPr>
          <w:rFonts w:hint="eastAsia"/>
          <w:b/>
          <w:color w:val="auto"/>
        </w:rPr>
        <w:t>‘</w:t>
      </w:r>
      <w:r w:rsidR="000D3149" w:rsidRPr="00EF175A">
        <w:rPr>
          <w:b/>
          <w:color w:val="auto"/>
        </w:rPr>
        <w:t>chemistry-oriented synthesis’</w:t>
      </w:r>
      <w:r w:rsidR="0082226C" w:rsidRPr="00EF175A">
        <w:rPr>
          <w:b/>
          <w:color w:val="auto"/>
        </w:rPr>
        <w:t xml:space="preserve"> </w:t>
      </w:r>
      <w:r w:rsidR="0082226C" w:rsidRPr="00EF175A">
        <w:rPr>
          <w:color w:val="auto"/>
        </w:rPr>
        <w:t>is a chemocentric approach for drug discovery.</w:t>
      </w:r>
    </w:p>
    <w:p w:rsidR="000D3149" w:rsidRPr="00EF175A" w:rsidRDefault="003772E2" w:rsidP="000D3149">
      <w:pPr>
        <w:pStyle w:val="1"/>
        <w:wordWrap/>
        <w:ind w:firstLine="0"/>
        <w:rPr>
          <w:color w:val="auto"/>
        </w:rPr>
      </w:pPr>
      <w:r w:rsidRPr="00EF175A">
        <w:rPr>
          <w:color w:val="auto"/>
          <w:lang w:eastAsia="en-US"/>
        </w:rPr>
        <w:t>Current drug discovery</w:t>
      </w:r>
      <w:r w:rsidR="000D3149" w:rsidRPr="00EF175A">
        <w:rPr>
          <w:color w:val="auto"/>
          <w:lang w:eastAsia="en-US"/>
        </w:rPr>
        <w:t xml:space="preserve"> commonly </w:t>
      </w:r>
      <w:r w:rsidR="0082226C" w:rsidRPr="00EF175A">
        <w:rPr>
          <w:color w:val="auto"/>
          <w:lang w:eastAsia="en-US"/>
        </w:rPr>
        <w:t>uses</w:t>
      </w:r>
      <w:r w:rsidR="000D3149" w:rsidRPr="00EF175A">
        <w:rPr>
          <w:color w:val="auto"/>
          <w:lang w:eastAsia="en-US"/>
        </w:rPr>
        <w:t xml:space="preserve"> ‘targets’ as their queries so that ‘structural uniqueness or diversity of drugs’ cannot be considered with either the highest priority or the uncoupling with SAR. However, a part of ‘not existing compounds’ can be unfound treasure island. For the purpose, </w:t>
      </w:r>
      <w:r w:rsidR="000D3149" w:rsidRPr="00EF175A">
        <w:rPr>
          <w:color w:val="auto"/>
        </w:rPr>
        <w:t>‘ChOS (Chemistry oriented synthesis)’ without any chosen target</w:t>
      </w:r>
      <w:r w:rsidRPr="00EF175A">
        <w:rPr>
          <w:color w:val="auto"/>
        </w:rPr>
        <w:t xml:space="preserve"> was devised </w:t>
      </w:r>
      <w:r w:rsidR="0082226C" w:rsidRPr="00EF175A">
        <w:rPr>
          <w:color w:val="auto"/>
        </w:rPr>
        <w:t xml:space="preserve">to find unprecedented drug scaffolds </w:t>
      </w:r>
      <w:r w:rsidRPr="00EF175A">
        <w:rPr>
          <w:color w:val="auto"/>
        </w:rPr>
        <w:t xml:space="preserve">with </w:t>
      </w:r>
      <w:r w:rsidRPr="00EF175A">
        <w:rPr>
          <w:color w:val="auto"/>
          <w:lang w:eastAsia="en-US"/>
        </w:rPr>
        <w:t>structural uniqueness</w:t>
      </w:r>
      <w:r w:rsidRPr="00EF175A">
        <w:rPr>
          <w:color w:val="auto"/>
        </w:rPr>
        <w:t>.</w:t>
      </w:r>
      <w:r w:rsidR="0082226C" w:rsidRPr="00EF175A">
        <w:rPr>
          <w:color w:val="auto"/>
        </w:rPr>
        <w:t xml:space="preserve"> </w:t>
      </w:r>
      <w:r w:rsidR="005039F1" w:rsidRPr="00EF175A">
        <w:rPr>
          <w:rStyle w:val="1Char"/>
          <w:color w:val="auto"/>
        </w:rPr>
        <w:t>ChOS consists</w:t>
      </w:r>
      <w:r w:rsidR="000D3149" w:rsidRPr="00EF175A">
        <w:rPr>
          <w:rStyle w:val="1Char"/>
          <w:color w:val="auto"/>
        </w:rPr>
        <w:t xml:space="preserve"> of</w:t>
      </w:r>
      <w:r w:rsidR="000D3149" w:rsidRPr="00EF175A">
        <w:rPr>
          <w:rStyle w:val="1Char"/>
          <w:rFonts w:hint="eastAsia"/>
          <w:color w:val="auto"/>
        </w:rPr>
        <w:t xml:space="preserve"> </w:t>
      </w:r>
      <w:r w:rsidR="000D3149" w:rsidRPr="00EF175A">
        <w:rPr>
          <w:rStyle w:val="1Char"/>
          <w:color w:val="auto"/>
        </w:rPr>
        <w:t>four</w:t>
      </w:r>
      <w:r w:rsidR="000D3149" w:rsidRPr="00EF175A">
        <w:rPr>
          <w:rStyle w:val="1Char"/>
          <w:rFonts w:hint="eastAsia"/>
          <w:color w:val="auto"/>
        </w:rPr>
        <w:t xml:space="preserve"> </w:t>
      </w:r>
      <w:r w:rsidR="000D3149" w:rsidRPr="00EF175A">
        <w:rPr>
          <w:rStyle w:val="1Char"/>
          <w:color w:val="auto"/>
        </w:rPr>
        <w:t xml:space="preserve">stepwise </w:t>
      </w:r>
      <w:r w:rsidR="000D3149" w:rsidRPr="00EF175A">
        <w:rPr>
          <w:rStyle w:val="1Char"/>
          <w:rFonts w:hint="eastAsia"/>
          <w:color w:val="auto"/>
        </w:rPr>
        <w:lastRenderedPageBreak/>
        <w:t>components;</w:t>
      </w:r>
      <w:r w:rsidR="000D3149" w:rsidRPr="00EF175A">
        <w:rPr>
          <w:rStyle w:val="1Char"/>
          <w:color w:val="auto"/>
        </w:rPr>
        <w:t xml:space="preserve"> (1) the development</w:t>
      </w:r>
      <w:r w:rsidR="000D3149" w:rsidRPr="00EF175A">
        <w:rPr>
          <w:color w:val="auto"/>
        </w:rPr>
        <w:t xml:space="preserve"> of </w:t>
      </w:r>
      <w:r w:rsidR="000D3149" w:rsidRPr="00EF175A">
        <w:rPr>
          <w:rFonts w:hint="eastAsia"/>
          <w:color w:val="auto"/>
        </w:rPr>
        <w:t>efficient</w:t>
      </w:r>
      <w:r w:rsidR="000D3149" w:rsidRPr="00EF175A">
        <w:rPr>
          <w:color w:val="auto"/>
        </w:rPr>
        <w:t xml:space="preserve"> synthetic methodology of an unprecedented</w:t>
      </w:r>
      <w:r w:rsidR="000D3149" w:rsidRPr="00EF175A">
        <w:rPr>
          <w:rFonts w:hint="eastAsia"/>
          <w:color w:val="auto"/>
        </w:rPr>
        <w:t xml:space="preserve"> </w:t>
      </w:r>
      <w:r w:rsidR="000D3149" w:rsidRPr="00EF175A">
        <w:rPr>
          <w:color w:val="auto"/>
        </w:rPr>
        <w:t>druglike scaffold, (2) small diverse chemical</w:t>
      </w:r>
      <w:r w:rsidR="000D3149" w:rsidRPr="00EF175A">
        <w:rPr>
          <w:rFonts w:hint="eastAsia"/>
          <w:color w:val="auto"/>
        </w:rPr>
        <w:t xml:space="preserve"> library</w:t>
      </w:r>
      <w:r w:rsidR="000D3149" w:rsidRPr="00EF175A">
        <w:rPr>
          <w:color w:val="auto"/>
        </w:rPr>
        <w:t xml:space="preserve"> of the scaffold </w:t>
      </w:r>
      <w:r w:rsidR="000D3149" w:rsidRPr="00EF175A">
        <w:rPr>
          <w:rFonts w:hint="eastAsia"/>
          <w:color w:val="auto"/>
        </w:rPr>
        <w:t>from the reaction methodology</w:t>
      </w:r>
      <w:r w:rsidR="000D3149" w:rsidRPr="00EF175A">
        <w:rPr>
          <w:color w:val="auto"/>
        </w:rPr>
        <w:t>, (3) in silico target screening of the library, and (4) in vitro activity check against selected targets</w:t>
      </w:r>
      <w:r w:rsidR="000D3149" w:rsidRPr="00EF175A">
        <w:rPr>
          <w:rFonts w:hint="eastAsia"/>
          <w:color w:val="auto"/>
        </w:rPr>
        <w:t xml:space="preserve"> through in silico</w:t>
      </w:r>
      <w:r w:rsidR="000D3149" w:rsidRPr="00EF175A">
        <w:rPr>
          <w:color w:val="auto"/>
        </w:rPr>
        <w:t xml:space="preserve">. </w:t>
      </w:r>
    </w:p>
    <w:p w:rsidR="00F2706A" w:rsidRPr="00EF175A" w:rsidRDefault="00F2706A" w:rsidP="00F2706A">
      <w:pPr>
        <w:pStyle w:val="1"/>
        <w:wordWrap/>
        <w:ind w:firstLine="0"/>
        <w:rPr>
          <w:color w:val="auto"/>
        </w:rPr>
      </w:pPr>
    </w:p>
    <w:p w:rsidR="00F2706A" w:rsidRPr="00EF175A" w:rsidRDefault="00F2706A" w:rsidP="00F2706A">
      <w:pPr>
        <w:pStyle w:val="1"/>
        <w:wordWrap/>
        <w:ind w:firstLine="0"/>
        <w:rPr>
          <w:b/>
          <w:color w:val="auto"/>
        </w:rPr>
      </w:pPr>
      <w:r w:rsidRPr="00EF175A">
        <w:rPr>
          <w:color w:val="auto"/>
        </w:rPr>
        <w:t>#</w:t>
      </w:r>
      <w:r w:rsidR="000E2E45" w:rsidRPr="00EF175A">
        <w:rPr>
          <w:color w:val="auto"/>
        </w:rPr>
        <w:t>9.</w:t>
      </w:r>
      <w:r w:rsidR="001E35EE" w:rsidRPr="00EF175A">
        <w:rPr>
          <w:b/>
          <w:color w:val="auto"/>
        </w:rPr>
        <w:t xml:space="preserve"> ‘compound-target association’</w:t>
      </w:r>
      <w:r w:rsidR="0083462B" w:rsidRPr="00EF175A">
        <w:rPr>
          <w:b/>
          <w:color w:val="auto"/>
        </w:rPr>
        <w:t>:</w:t>
      </w:r>
    </w:p>
    <w:p w:rsidR="00F2706A" w:rsidRPr="00EF175A" w:rsidRDefault="0083462B" w:rsidP="0083462B">
      <w:pPr>
        <w:pStyle w:val="1"/>
        <w:wordWrap/>
        <w:ind w:firstLine="0"/>
        <w:rPr>
          <w:color w:val="auto"/>
        </w:rPr>
      </w:pPr>
      <w:r w:rsidRPr="00EF175A">
        <w:rPr>
          <w:color w:val="auto"/>
        </w:rPr>
        <w:t>A</w:t>
      </w:r>
      <w:r w:rsidR="00F2706A" w:rsidRPr="00EF175A">
        <w:rPr>
          <w:color w:val="auto"/>
        </w:rPr>
        <w:t xml:space="preserve"> compound can directly bind to the target (docking) and other compounds can regulate the target indirectly. In addition, some compound regulates a function of the target and another can regulate expression level of target protein.</w:t>
      </w:r>
      <w:r w:rsidR="001E35EE" w:rsidRPr="00EF175A">
        <w:rPr>
          <w:color w:val="auto"/>
        </w:rPr>
        <w:t xml:space="preserve"> </w:t>
      </w:r>
      <w:r w:rsidR="001E35EE" w:rsidRPr="00EF175A">
        <w:rPr>
          <w:rFonts w:hint="eastAsia"/>
          <w:color w:val="auto"/>
        </w:rPr>
        <w:t>T</w:t>
      </w:r>
      <w:r w:rsidR="001E35EE" w:rsidRPr="00EF175A">
        <w:rPr>
          <w:color w:val="auto"/>
        </w:rPr>
        <w:t>he mentioned</w:t>
      </w:r>
      <w:r w:rsidR="00F2706A" w:rsidRPr="00EF175A">
        <w:rPr>
          <w:color w:val="auto"/>
        </w:rPr>
        <w:t xml:space="preserve"> </w:t>
      </w:r>
      <w:r w:rsidR="001E35EE" w:rsidRPr="00EF175A">
        <w:rPr>
          <w:color w:val="auto"/>
        </w:rPr>
        <w:t xml:space="preserve">everything is included in “compound-target association”. </w:t>
      </w:r>
      <w:r w:rsidRPr="00EF175A">
        <w:rPr>
          <w:color w:val="auto"/>
        </w:rPr>
        <w:t>In this study,</w:t>
      </w:r>
      <w:r w:rsidR="00F2706A" w:rsidRPr="00EF175A">
        <w:rPr>
          <w:color w:val="auto"/>
        </w:rPr>
        <w:t xml:space="preserve"> </w:t>
      </w:r>
      <w:r w:rsidRPr="00EF175A">
        <w:rPr>
          <w:color w:val="auto"/>
        </w:rPr>
        <w:t>d</w:t>
      </w:r>
      <w:r w:rsidR="00F2706A" w:rsidRPr="00EF175A">
        <w:rPr>
          <w:color w:val="auto"/>
        </w:rPr>
        <w:t>ata</w:t>
      </w:r>
      <w:r w:rsidRPr="00EF175A">
        <w:rPr>
          <w:color w:val="auto"/>
        </w:rPr>
        <w:t>set was extracted</w:t>
      </w:r>
      <w:r w:rsidR="00F2706A" w:rsidRPr="00EF175A">
        <w:rPr>
          <w:color w:val="auto"/>
        </w:rPr>
        <w:t xml:space="preserve"> based on single target information but regardless of assay type (eg. cell-level, biochemical level, functional study). </w:t>
      </w:r>
    </w:p>
    <w:p w:rsidR="00F2706A" w:rsidRPr="00EF175A" w:rsidRDefault="00F2706A" w:rsidP="001E35EE">
      <w:pPr>
        <w:pStyle w:val="1"/>
        <w:wordWrap/>
        <w:ind w:firstLine="0"/>
        <w:rPr>
          <w:color w:val="auto"/>
        </w:rPr>
      </w:pPr>
    </w:p>
    <w:p w:rsidR="00ED3BAA" w:rsidRPr="00EF175A" w:rsidRDefault="00F2706A" w:rsidP="00987832">
      <w:pPr>
        <w:pStyle w:val="1"/>
        <w:wordWrap/>
        <w:ind w:firstLine="0"/>
        <w:rPr>
          <w:color w:val="auto"/>
        </w:rPr>
      </w:pPr>
      <w:r w:rsidRPr="00EF175A">
        <w:rPr>
          <w:color w:val="auto"/>
        </w:rPr>
        <w:t>#</w:t>
      </w:r>
      <w:r w:rsidR="001E35EE" w:rsidRPr="00EF175A">
        <w:rPr>
          <w:color w:val="auto"/>
        </w:rPr>
        <w:t xml:space="preserve">10. </w:t>
      </w:r>
      <w:r w:rsidR="001E35EE" w:rsidRPr="00EF175A">
        <w:rPr>
          <w:b/>
          <w:color w:val="auto"/>
        </w:rPr>
        <w:t>‘</w:t>
      </w:r>
      <w:r w:rsidRPr="00EF175A">
        <w:rPr>
          <w:b/>
          <w:color w:val="auto"/>
        </w:rPr>
        <w:t>Jaccard-Tanimoto simi</w:t>
      </w:r>
      <w:r w:rsidR="001E35EE" w:rsidRPr="00EF175A">
        <w:rPr>
          <w:b/>
          <w:color w:val="auto"/>
        </w:rPr>
        <w:t>larity of query-to-ligand pairs’</w:t>
      </w:r>
      <w:r w:rsidR="00987832" w:rsidRPr="00EF175A">
        <w:rPr>
          <w:rFonts w:hint="eastAsia"/>
          <w:b/>
          <w:color w:val="auto"/>
        </w:rPr>
        <w:t xml:space="preserve"> </w:t>
      </w:r>
      <w:r w:rsidR="00987832" w:rsidRPr="00EF175A">
        <w:rPr>
          <w:color w:val="auto"/>
        </w:rPr>
        <w:t>is</w:t>
      </w:r>
      <w:r w:rsidR="00987832" w:rsidRPr="00EF175A">
        <w:rPr>
          <w:b/>
          <w:color w:val="auto"/>
        </w:rPr>
        <w:t xml:space="preserve"> </w:t>
      </w:r>
      <w:r w:rsidR="00987832" w:rsidRPr="00EF175A">
        <w:rPr>
          <w:color w:val="auto"/>
        </w:rPr>
        <w:t>similarity coefficient</w:t>
      </w:r>
      <w:r w:rsidR="00ED3BAA" w:rsidRPr="00EF175A">
        <w:rPr>
          <w:color w:val="auto"/>
        </w:rPr>
        <w:t>s</w:t>
      </w:r>
      <w:r w:rsidR="00987832" w:rsidRPr="00EF175A">
        <w:rPr>
          <w:color w:val="auto"/>
        </w:rPr>
        <w:t xml:space="preserve"> between a query and ligands of a target class</w:t>
      </w:r>
      <w:r w:rsidR="00ED3BAA" w:rsidRPr="00EF175A">
        <w:rPr>
          <w:color w:val="auto"/>
        </w:rPr>
        <w:t>.</w:t>
      </w:r>
    </w:p>
    <w:p w:rsidR="00987832" w:rsidRPr="00EF175A" w:rsidRDefault="00ED3BAA" w:rsidP="00987832">
      <w:pPr>
        <w:pStyle w:val="1"/>
        <w:wordWrap/>
        <w:ind w:firstLine="0"/>
        <w:rPr>
          <w:b/>
          <w:color w:val="auto"/>
        </w:rPr>
      </w:pPr>
      <w:r w:rsidRPr="00EF175A">
        <w:rPr>
          <w:color w:val="auto"/>
        </w:rPr>
        <w:t>If a query exists in</w:t>
      </w:r>
      <w:r w:rsidR="00EE1FDC" w:rsidRPr="00EF175A">
        <w:rPr>
          <w:color w:val="auto"/>
        </w:rPr>
        <w:t xml:space="preserve"> the </w:t>
      </w:r>
      <w:r w:rsidR="00EE1FDC" w:rsidRPr="00EF175A">
        <w:rPr>
          <w:i/>
          <w:color w:val="auto"/>
        </w:rPr>
        <w:t>l</w:t>
      </w:r>
      <w:r w:rsidR="00EE1FDC" w:rsidRPr="00EF175A">
        <w:rPr>
          <w:color w:val="auto"/>
        </w:rPr>
        <w:t xml:space="preserve">th column vector of the similarity matrix </w:t>
      </w:r>
      <m:oMath>
        <m:sSub>
          <m:sSubPr>
            <m:ctrlPr>
              <w:rPr>
                <w:rFonts w:ascii="Cambria Math" w:hAnsi="Cambria Math"/>
                <w:b/>
                <w:color w:val="auto"/>
              </w:rPr>
            </m:ctrlPr>
          </m:sSubPr>
          <m:e>
            <m:r>
              <m:rPr>
                <m:sty m:val="b"/>
              </m:rPr>
              <w:rPr>
                <w:rFonts w:ascii="Cambria Math" w:hAnsi="Cambria Math"/>
                <w:color w:val="auto"/>
              </w:rPr>
              <m:t>T</m:t>
            </m:r>
          </m:e>
          <m:sub>
            <m:r>
              <m:rPr>
                <m:sty m:val="b"/>
              </m:rPr>
              <w:rPr>
                <w:rFonts w:ascii="Cambria Math" w:hAnsi="Cambria Math"/>
                <w:color w:val="auto"/>
              </w:rPr>
              <m:t>M</m:t>
            </m:r>
          </m:sub>
        </m:sSub>
        <m:sSub>
          <m:sSubPr>
            <m:ctrlPr>
              <w:rPr>
                <w:rFonts w:ascii="Cambria Math" w:hAnsi="Cambria Math"/>
                <w:i/>
                <w:color w:val="auto"/>
              </w:rPr>
            </m:ctrlPr>
          </m:sSubPr>
          <m:e>
            <m:d>
              <m:dPr>
                <m:begChr m:val="["/>
                <m:endChr m:val="]"/>
                <m:ctrlPr>
                  <w:rPr>
                    <w:rFonts w:ascii="Cambria Math" w:hAnsi="Cambria Math"/>
                    <w:i/>
                    <w:color w:val="auto"/>
                  </w:rPr>
                </m:ctrlPr>
              </m:dPr>
              <m:e>
                <m:sSub>
                  <m:sSubPr>
                    <m:ctrlPr>
                      <w:rPr>
                        <w:rFonts w:ascii="Cambria Math" w:hAnsi="Cambria Math"/>
                        <w:b/>
                        <w:color w:val="auto"/>
                      </w:rPr>
                    </m:ctrlPr>
                  </m:sSubPr>
                  <m:e>
                    <m:r>
                      <m:rPr>
                        <m:sty m:val="b"/>
                      </m:rPr>
                      <w:rPr>
                        <w:rFonts w:ascii="Cambria Math" w:hAnsi="Cambria Math"/>
                        <w:color w:val="auto"/>
                      </w:rPr>
                      <m:t>C</m:t>
                    </m:r>
                  </m:e>
                  <m:sub>
                    <m:r>
                      <m:rPr>
                        <m:sty m:val="b"/>
                      </m:rPr>
                      <w:rPr>
                        <w:rFonts w:ascii="Cambria Math" w:hAnsi="Cambria Math"/>
                        <w:color w:val="auto"/>
                      </w:rPr>
                      <m:t>l</m:t>
                    </m:r>
                  </m:sub>
                </m:sSub>
                <m:d>
                  <m:dPr>
                    <m:ctrlPr>
                      <w:rPr>
                        <w:rFonts w:ascii="Cambria Math" w:hAnsi="Cambria Math"/>
                        <w:i/>
                        <w:color w:val="auto"/>
                      </w:rPr>
                    </m:ctrlPr>
                  </m:dPr>
                  <m:e>
                    <m:r>
                      <w:rPr>
                        <w:rFonts w:ascii="Cambria Math" w:hAnsi="Cambria Math"/>
                        <w:color w:val="auto"/>
                      </w:rPr>
                      <m:t>m</m:t>
                    </m:r>
                  </m:e>
                </m:d>
                <m:r>
                  <w:rPr>
                    <w:rFonts w:ascii="Cambria Math" w:hAnsi="Cambria Math"/>
                    <w:color w:val="auto"/>
                  </w:rPr>
                  <m:t xml:space="preserve">, </m:t>
                </m:r>
                <m:sSub>
                  <m:sSubPr>
                    <m:ctrlPr>
                      <w:rPr>
                        <w:rFonts w:ascii="Cambria Math" w:hAnsi="Cambria Math"/>
                        <w:b/>
                        <w:color w:val="auto"/>
                      </w:rPr>
                    </m:ctrlPr>
                  </m:sSubPr>
                  <m:e>
                    <m:r>
                      <m:rPr>
                        <m:sty m:val="b"/>
                      </m:rPr>
                      <w:rPr>
                        <w:rFonts w:ascii="Cambria Math" w:hAnsi="Cambria Math"/>
                        <w:color w:val="auto"/>
                      </w:rPr>
                      <m:t>C</m:t>
                    </m:r>
                  </m:e>
                  <m:sub>
                    <m:r>
                      <m:rPr>
                        <m:sty m:val="b"/>
                      </m:rPr>
                      <w:rPr>
                        <w:rFonts w:ascii="Cambria Math" w:hAnsi="Cambria Math"/>
                        <w:color w:val="auto"/>
                      </w:rPr>
                      <m:t>l</m:t>
                    </m:r>
                  </m:sub>
                </m:sSub>
                <m:d>
                  <m:dPr>
                    <m:ctrlPr>
                      <w:rPr>
                        <w:rFonts w:ascii="Cambria Math" w:hAnsi="Cambria Math"/>
                        <w:i/>
                        <w:color w:val="auto"/>
                      </w:rPr>
                    </m:ctrlPr>
                  </m:dPr>
                  <m:e>
                    <m:r>
                      <w:rPr>
                        <w:rFonts w:ascii="Cambria Math" w:hAnsi="Cambria Math"/>
                        <w:color w:val="auto"/>
                      </w:rPr>
                      <m:t>n</m:t>
                    </m:r>
                  </m:e>
                </m:d>
              </m:e>
            </m:d>
          </m:e>
          <m:sub>
            <m:r>
              <w:rPr>
                <w:rFonts w:ascii="Cambria Math" w:hAnsi="Cambria Math"/>
                <w:color w:val="auto"/>
              </w:rPr>
              <m:t>ij</m:t>
            </m:r>
          </m:sub>
        </m:sSub>
      </m:oMath>
      <w:r w:rsidR="00EE1FDC" w:rsidRPr="00EF175A">
        <w:rPr>
          <w:color w:val="auto"/>
        </w:rPr>
        <w:t>:</w:t>
      </w:r>
    </w:p>
    <w:p w:rsidR="00987832" w:rsidRPr="00EF175A" w:rsidRDefault="000845A8" w:rsidP="001E35EE">
      <w:pPr>
        <w:pStyle w:val="1"/>
        <w:wordWrap/>
        <w:ind w:firstLine="0"/>
        <w:rPr>
          <w:b/>
          <w:color w:val="auto"/>
        </w:rPr>
      </w:pPr>
      <m:oMathPara>
        <m:oMath>
          <m:sSub>
            <m:sSubPr>
              <m:ctrlPr>
                <w:rPr>
                  <w:rFonts w:ascii="Cambria Math" w:hAnsi="Cambria Math"/>
                  <w:b/>
                  <w:color w:val="auto"/>
                </w:rPr>
              </m:ctrlPr>
            </m:sSubPr>
            <m:e>
              <m:r>
                <m:rPr>
                  <m:sty m:val="b"/>
                </m:rPr>
                <w:rPr>
                  <w:rFonts w:ascii="Cambria Math" w:hAnsi="Cambria Math"/>
                  <w:color w:val="auto"/>
                </w:rPr>
                <m:t>τ</m:t>
              </m:r>
            </m:e>
            <m:sub>
              <m:r>
                <m:rPr>
                  <m:sty m:val="bi"/>
                </m:rPr>
                <w:rPr>
                  <w:rFonts w:ascii="Cambria Math" w:hAnsi="Cambria Math"/>
                  <w:color w:val="auto"/>
                </w:rPr>
                <m:t>m</m:t>
              </m:r>
            </m:sub>
          </m:sSub>
          <m:d>
            <m:dPr>
              <m:ctrlPr>
                <w:rPr>
                  <w:rFonts w:ascii="Cambria Math" w:hAnsi="Cambria Math"/>
                  <w:i/>
                  <w:color w:val="auto"/>
                </w:rPr>
              </m:ctrlPr>
            </m:dPr>
            <m:e>
              <m:r>
                <w:rPr>
                  <w:rFonts w:ascii="Cambria Math" w:hAnsi="Cambria Math"/>
                  <w:color w:val="auto"/>
                </w:rPr>
                <m:t>m, n, l</m:t>
              </m:r>
            </m:e>
          </m:d>
          <m:r>
            <w:rPr>
              <w:rFonts w:ascii="Cambria Math" w:hAnsi="Cambria Math"/>
              <w:color w:val="auto"/>
            </w:rPr>
            <m:t>≔</m:t>
          </m:r>
          <m:sSub>
            <m:sSubPr>
              <m:ctrlPr>
                <w:rPr>
                  <w:rFonts w:ascii="Cambria Math" w:hAnsi="Cambria Math"/>
                  <w:b/>
                  <w:color w:val="auto"/>
                </w:rPr>
              </m:ctrlPr>
            </m:sSubPr>
            <m:e>
              <m:r>
                <m:rPr>
                  <m:sty m:val="b"/>
                </m:rPr>
                <w:rPr>
                  <w:rFonts w:ascii="Cambria Math" w:hAnsi="Cambria Math"/>
                  <w:color w:val="auto"/>
                </w:rPr>
                <m:t>T</m:t>
              </m:r>
            </m:e>
            <m:sub>
              <m:r>
                <m:rPr>
                  <m:sty m:val="b"/>
                </m:rPr>
                <w:rPr>
                  <w:rFonts w:ascii="Cambria Math" w:hAnsi="Cambria Math"/>
                  <w:color w:val="auto"/>
                </w:rPr>
                <m:t>M</m:t>
              </m:r>
            </m:sub>
          </m:sSub>
          <m:d>
            <m:dPr>
              <m:begChr m:val="["/>
              <m:endChr m:val="]"/>
              <m:ctrlPr>
                <w:rPr>
                  <w:rFonts w:ascii="Cambria Math" w:hAnsi="Cambria Math"/>
                  <w:i/>
                  <w:color w:val="auto"/>
                </w:rPr>
              </m:ctrlPr>
            </m:dPr>
            <m:e>
              <m:sSub>
                <m:sSubPr>
                  <m:ctrlPr>
                    <w:rPr>
                      <w:rFonts w:ascii="Cambria Math" w:hAnsi="Cambria Math"/>
                      <w:b/>
                      <w:color w:val="auto"/>
                    </w:rPr>
                  </m:ctrlPr>
                </m:sSubPr>
                <m:e>
                  <m:r>
                    <m:rPr>
                      <m:sty m:val="b"/>
                    </m:rPr>
                    <w:rPr>
                      <w:rFonts w:ascii="Cambria Math" w:hAnsi="Cambria Math"/>
                      <w:color w:val="auto"/>
                    </w:rPr>
                    <m:t>C</m:t>
                  </m:r>
                </m:e>
                <m:sub>
                  <m:r>
                    <m:rPr>
                      <m:sty m:val="b"/>
                    </m:rPr>
                    <w:rPr>
                      <w:rFonts w:ascii="Cambria Math" w:hAnsi="Cambria Math"/>
                      <w:color w:val="auto"/>
                    </w:rPr>
                    <m:t>l</m:t>
                  </m:r>
                </m:sub>
              </m:sSub>
              <m:d>
                <m:dPr>
                  <m:ctrlPr>
                    <w:rPr>
                      <w:rFonts w:ascii="Cambria Math" w:hAnsi="Cambria Math"/>
                      <w:i/>
                      <w:color w:val="auto"/>
                    </w:rPr>
                  </m:ctrlPr>
                </m:dPr>
                <m:e>
                  <m:r>
                    <w:rPr>
                      <w:rFonts w:ascii="Cambria Math" w:hAnsi="Cambria Math"/>
                      <w:color w:val="auto"/>
                    </w:rPr>
                    <m:t>m</m:t>
                  </m:r>
                </m:e>
              </m:d>
              <m:r>
                <w:rPr>
                  <w:rFonts w:ascii="Cambria Math" w:hAnsi="Cambria Math"/>
                  <w:color w:val="auto"/>
                </w:rPr>
                <m:t xml:space="preserve">, </m:t>
              </m:r>
              <m:sSub>
                <m:sSubPr>
                  <m:ctrlPr>
                    <w:rPr>
                      <w:rFonts w:ascii="Cambria Math" w:hAnsi="Cambria Math"/>
                      <w:b/>
                      <w:color w:val="auto"/>
                    </w:rPr>
                  </m:ctrlPr>
                </m:sSubPr>
                <m:e>
                  <m:r>
                    <m:rPr>
                      <m:sty m:val="b"/>
                    </m:rPr>
                    <w:rPr>
                      <w:rFonts w:ascii="Cambria Math" w:hAnsi="Cambria Math"/>
                      <w:color w:val="auto"/>
                    </w:rPr>
                    <m:t>C</m:t>
                  </m:r>
                </m:e>
                <m:sub>
                  <m:r>
                    <m:rPr>
                      <m:sty m:val="b"/>
                    </m:rPr>
                    <w:rPr>
                      <w:rFonts w:ascii="Cambria Math" w:hAnsi="Cambria Math"/>
                      <w:color w:val="auto"/>
                    </w:rPr>
                    <m:t>l</m:t>
                  </m:r>
                </m:sub>
              </m:sSub>
              <m:d>
                <m:dPr>
                  <m:ctrlPr>
                    <w:rPr>
                      <w:rFonts w:ascii="Cambria Math" w:hAnsi="Cambria Math"/>
                      <w:i/>
                      <w:color w:val="auto"/>
                    </w:rPr>
                  </m:ctrlPr>
                </m:dPr>
                <m:e>
                  <m:r>
                    <w:rPr>
                      <w:rFonts w:ascii="Cambria Math" w:hAnsi="Cambria Math"/>
                      <w:color w:val="auto"/>
                    </w:rPr>
                    <m:t>n</m:t>
                  </m:r>
                </m:e>
              </m:d>
            </m:e>
          </m:d>
          <m:sSub>
            <m:sSubPr>
              <m:ctrlPr>
                <w:rPr>
                  <w:rFonts w:ascii="Cambria Math" w:hAnsi="Cambria Math"/>
                  <w:b/>
                  <w:color w:val="auto"/>
                </w:rPr>
              </m:ctrlPr>
            </m:sSubPr>
            <m:e>
              <m:r>
                <m:rPr>
                  <m:sty m:val="b"/>
                </m:rPr>
                <w:rPr>
                  <w:rFonts w:ascii="Cambria Math" w:hAnsi="Cambria Math"/>
                  <w:color w:val="auto"/>
                </w:rPr>
                <m:t>E</m:t>
              </m:r>
            </m:e>
            <m:sub>
              <m:r>
                <w:rPr>
                  <w:rFonts w:ascii="Cambria Math" w:hAnsi="Cambria Math"/>
                  <w:color w:val="auto"/>
                </w:rPr>
                <m:t>l</m:t>
              </m:r>
            </m:sub>
          </m:sSub>
        </m:oMath>
      </m:oMathPara>
    </w:p>
    <w:p w:rsidR="00ED3BAA" w:rsidRPr="00EF175A" w:rsidRDefault="00ED3BAA" w:rsidP="001E35EE">
      <w:pPr>
        <w:pStyle w:val="1"/>
        <w:wordWrap/>
        <w:ind w:firstLine="0"/>
        <w:rPr>
          <w:color w:val="auto"/>
        </w:rPr>
      </w:pPr>
      <m:oMathPara>
        <m:oMath>
          <m:r>
            <w:rPr>
              <w:rFonts w:ascii="Cambria Math" w:hAnsi="Cambria Math"/>
              <w:color w:val="auto"/>
            </w:rPr>
            <m:t xml:space="preserve">m:the target class of query </m:t>
          </m:r>
        </m:oMath>
      </m:oMathPara>
    </w:p>
    <w:p w:rsidR="00ED3BAA" w:rsidRPr="00EF175A" w:rsidRDefault="00ED3BAA" w:rsidP="001E35EE">
      <w:pPr>
        <w:pStyle w:val="1"/>
        <w:wordWrap/>
        <w:ind w:firstLine="0"/>
        <w:rPr>
          <w:color w:val="auto"/>
        </w:rPr>
      </w:pPr>
      <m:oMathPara>
        <m:oMath>
          <m:r>
            <w:rPr>
              <w:rFonts w:ascii="Cambria Math" w:hAnsi="Cambria Math"/>
              <w:color w:val="auto"/>
            </w:rPr>
            <m:t>n:the target class of ligands</m:t>
          </m:r>
        </m:oMath>
      </m:oMathPara>
    </w:p>
    <w:p w:rsidR="00ED3BAA" w:rsidRPr="00EF175A" w:rsidRDefault="00ED3BAA" w:rsidP="001E35EE">
      <w:pPr>
        <w:pStyle w:val="1"/>
        <w:wordWrap/>
        <w:ind w:firstLine="0"/>
        <w:rPr>
          <w:color w:val="auto"/>
        </w:rPr>
      </w:pPr>
    </w:p>
    <w:p w:rsidR="001E35EE" w:rsidRPr="00EF175A" w:rsidRDefault="00ED3BAA" w:rsidP="00987832">
      <w:pPr>
        <w:pStyle w:val="1"/>
        <w:wordWrap/>
        <w:ind w:firstLine="0"/>
        <w:rPr>
          <w:color w:val="auto"/>
        </w:rPr>
      </w:pPr>
      <w:r w:rsidRPr="00EF175A">
        <w:rPr>
          <w:color w:val="auto"/>
        </w:rPr>
        <w:t>When the matrix is divided according to each query, t</w:t>
      </w:r>
      <w:r w:rsidR="00987832" w:rsidRPr="00EF175A">
        <w:rPr>
          <w:color w:val="auto"/>
        </w:rPr>
        <w:t xml:space="preserve">he number of matrixes for </w:t>
      </w:r>
      <w:r w:rsidRPr="00EF175A">
        <w:rPr>
          <w:color w:val="auto"/>
        </w:rPr>
        <w:t>query-to-ligand pairs is</w:t>
      </w:r>
      <w:r w:rsidR="00987832" w:rsidRPr="00EF175A">
        <w:rPr>
          <w:color w:val="auto"/>
        </w:rPr>
        <w:t xml:space="preserve"> No. (target)* No. (query) </w:t>
      </w:r>
      <w:r w:rsidRPr="00EF175A">
        <w:rPr>
          <w:rFonts w:hint="eastAsia"/>
          <w:color w:val="auto"/>
        </w:rPr>
        <w:t xml:space="preserve">and </w:t>
      </w:r>
      <w:r w:rsidRPr="00EF175A">
        <w:rPr>
          <w:color w:val="auto"/>
        </w:rPr>
        <w:t>t</w:t>
      </w:r>
      <w:r w:rsidR="00987832" w:rsidRPr="00EF175A">
        <w:rPr>
          <w:color w:val="auto"/>
        </w:rPr>
        <w:t>he dimension of a matrix for query-to-ligand pairs: 1* 14,000</w:t>
      </w:r>
      <w:r w:rsidRPr="00EF175A">
        <w:rPr>
          <w:color w:val="auto"/>
        </w:rPr>
        <w:t xml:space="preserve"> (if the query has one conformer).</w:t>
      </w:r>
    </w:p>
    <w:p w:rsidR="00291433" w:rsidRPr="00EF175A" w:rsidRDefault="00291433" w:rsidP="000D3149">
      <w:pPr>
        <w:pStyle w:val="1"/>
        <w:wordWrap/>
        <w:ind w:firstLine="0"/>
        <w:rPr>
          <w:color w:val="auto"/>
        </w:rPr>
      </w:pPr>
    </w:p>
    <w:sectPr w:rsidR="00291433" w:rsidRPr="00EF175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45A8" w:rsidRDefault="000845A8" w:rsidP="00360842">
      <w:r>
        <w:separator/>
      </w:r>
    </w:p>
  </w:endnote>
  <w:endnote w:type="continuationSeparator" w:id="0">
    <w:p w:rsidR="000845A8" w:rsidRDefault="000845A8" w:rsidP="00360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45A8" w:rsidRDefault="000845A8" w:rsidP="00360842">
      <w:r>
        <w:separator/>
      </w:r>
    </w:p>
  </w:footnote>
  <w:footnote w:type="continuationSeparator" w:id="0">
    <w:p w:rsidR="000845A8" w:rsidRDefault="000845A8" w:rsidP="00360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149"/>
    <w:rsid w:val="000845A8"/>
    <w:rsid w:val="00090A3E"/>
    <w:rsid w:val="00097B0F"/>
    <w:rsid w:val="000D3149"/>
    <w:rsid w:val="000E2E45"/>
    <w:rsid w:val="001E35EE"/>
    <w:rsid w:val="002506E8"/>
    <w:rsid w:val="00291433"/>
    <w:rsid w:val="002C5865"/>
    <w:rsid w:val="00360842"/>
    <w:rsid w:val="003772E2"/>
    <w:rsid w:val="0041214C"/>
    <w:rsid w:val="00444672"/>
    <w:rsid w:val="005039F1"/>
    <w:rsid w:val="006F31A1"/>
    <w:rsid w:val="007C3FB5"/>
    <w:rsid w:val="0082226C"/>
    <w:rsid w:val="0083462B"/>
    <w:rsid w:val="00987832"/>
    <w:rsid w:val="00AA5FD6"/>
    <w:rsid w:val="00AC1984"/>
    <w:rsid w:val="00D23F0C"/>
    <w:rsid w:val="00E85728"/>
    <w:rsid w:val="00ED3BAA"/>
    <w:rsid w:val="00EE1FDC"/>
    <w:rsid w:val="00EF175A"/>
    <w:rsid w:val="00EF4F50"/>
    <w:rsid w:val="00F15C8F"/>
    <w:rsid w:val="00F2706A"/>
    <w:rsid w:val="00F31123"/>
    <w:rsid w:val="00FF79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917BEE4-E68F-438D-A769-8813BCDD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3149"/>
    <w:pPr>
      <w:widowControl w:val="0"/>
      <w:wordWrap w:val="0"/>
      <w:autoSpaceDE w:val="0"/>
      <w:autoSpaceDN w:val="0"/>
      <w:spacing w:after="0" w:line="240" w:lineRule="auto"/>
    </w:pPr>
    <w:rPr>
      <w:rFonts w:ascii="맑은 고딕" w:eastAsia="맑은 고딕" w:hAnsi="맑은 고딕"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스타일1"/>
    <w:basedOn w:val="a"/>
    <w:link w:val="1Char"/>
    <w:qFormat/>
    <w:rsid w:val="000D3149"/>
    <w:pPr>
      <w:spacing w:line="480" w:lineRule="auto"/>
      <w:ind w:firstLine="800"/>
    </w:pPr>
    <w:rPr>
      <w:rFonts w:ascii="Times New Roman" w:eastAsia="바탕" w:hAnsi="Times New Roman"/>
      <w:color w:val="000000" w:themeColor="text1"/>
      <w:kern w:val="0"/>
      <w:sz w:val="24"/>
      <w:szCs w:val="24"/>
    </w:rPr>
  </w:style>
  <w:style w:type="character" w:customStyle="1" w:styleId="1Char">
    <w:name w:val="스타일1 Char"/>
    <w:basedOn w:val="a0"/>
    <w:link w:val="1"/>
    <w:rsid w:val="000D3149"/>
    <w:rPr>
      <w:rFonts w:ascii="Times New Roman" w:eastAsia="바탕" w:hAnsi="Times New Roman" w:cs="Times New Roman"/>
      <w:color w:val="000000" w:themeColor="text1"/>
      <w:kern w:val="0"/>
      <w:sz w:val="24"/>
      <w:szCs w:val="24"/>
    </w:rPr>
  </w:style>
  <w:style w:type="paragraph" w:styleId="a3">
    <w:name w:val="header"/>
    <w:basedOn w:val="a"/>
    <w:link w:val="Char"/>
    <w:uiPriority w:val="99"/>
    <w:unhideWhenUsed/>
    <w:rsid w:val="00360842"/>
    <w:pPr>
      <w:tabs>
        <w:tab w:val="center" w:pos="4513"/>
        <w:tab w:val="right" w:pos="9026"/>
      </w:tabs>
      <w:snapToGrid w:val="0"/>
    </w:pPr>
  </w:style>
  <w:style w:type="character" w:customStyle="1" w:styleId="Char">
    <w:name w:val="머리글 Char"/>
    <w:basedOn w:val="a0"/>
    <w:link w:val="a3"/>
    <w:uiPriority w:val="99"/>
    <w:rsid w:val="00360842"/>
    <w:rPr>
      <w:rFonts w:ascii="맑은 고딕" w:eastAsia="맑은 고딕" w:hAnsi="맑은 고딕" w:cs="Times New Roman"/>
    </w:rPr>
  </w:style>
  <w:style w:type="paragraph" w:styleId="a4">
    <w:name w:val="footer"/>
    <w:basedOn w:val="a"/>
    <w:link w:val="Char0"/>
    <w:uiPriority w:val="99"/>
    <w:unhideWhenUsed/>
    <w:rsid w:val="00360842"/>
    <w:pPr>
      <w:tabs>
        <w:tab w:val="center" w:pos="4513"/>
        <w:tab w:val="right" w:pos="9026"/>
      </w:tabs>
      <w:snapToGrid w:val="0"/>
    </w:pPr>
  </w:style>
  <w:style w:type="character" w:customStyle="1" w:styleId="Char0">
    <w:name w:val="바닥글 Char"/>
    <w:basedOn w:val="a0"/>
    <w:link w:val="a4"/>
    <w:uiPriority w:val="99"/>
    <w:rsid w:val="00360842"/>
    <w:rPr>
      <w:rFonts w:ascii="맑은 고딕" w:eastAsia="맑은 고딕" w:hAnsi="맑은 고딕" w:cs="Times New Roman"/>
    </w:rPr>
  </w:style>
  <w:style w:type="character" w:styleId="a5">
    <w:name w:val="Hyperlink"/>
    <w:basedOn w:val="a0"/>
    <w:uiPriority w:val="99"/>
    <w:unhideWhenUsed/>
    <w:rsid w:val="002C58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3</Pages>
  <Words>721</Words>
  <Characters>4113</Characters>
  <Application>Microsoft Office Word</Application>
  <DocSecurity>0</DocSecurity>
  <Lines>34</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dc:creator>
  <cp:keywords/>
  <dc:description/>
  <cp:lastModifiedBy>GC</cp:lastModifiedBy>
  <cp:revision>8</cp:revision>
  <dcterms:created xsi:type="dcterms:W3CDTF">2020-04-14T03:53:00Z</dcterms:created>
  <dcterms:modified xsi:type="dcterms:W3CDTF">2020-06-12T09:06:00Z</dcterms:modified>
</cp:coreProperties>
</file>