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0B3F" w:rsidRPr="00510B3F" w:rsidRDefault="00510B3F" w:rsidP="00122F67">
      <w:pPr>
        <w:spacing w:after="0" w:line="360" w:lineRule="auto"/>
        <w:jc w:val="both"/>
        <w:rPr>
          <w:rFonts w:ascii="Arial" w:hAnsi="Arial" w:cs="Arial"/>
          <w:szCs w:val="20"/>
        </w:rPr>
      </w:pPr>
      <w:r w:rsidRPr="00510B3F">
        <w:rPr>
          <w:rFonts w:ascii="Arial" w:hAnsi="Arial" w:cs="Arial"/>
          <w:szCs w:val="20"/>
        </w:rPr>
        <w:t xml:space="preserve">The circulating nucleic acid characteristics of Non-Metastatic Soft Tissue Sarcoma patients </w:t>
      </w:r>
    </w:p>
    <w:p w:rsidR="00510B3F" w:rsidRDefault="00510B3F" w:rsidP="00122F67">
      <w:pPr>
        <w:spacing w:after="0" w:line="360" w:lineRule="auto"/>
        <w:jc w:val="both"/>
        <w:rPr>
          <w:rFonts w:ascii="Arial" w:hAnsi="Arial" w:cs="Arial"/>
          <w:b/>
          <w:bCs/>
          <w:szCs w:val="20"/>
        </w:rPr>
      </w:pPr>
      <w:r w:rsidRPr="00510B3F">
        <w:rPr>
          <w:rFonts w:ascii="Arial" w:hAnsi="Arial" w:cs="Arial"/>
          <w:b/>
          <w:bCs/>
          <w:szCs w:val="20"/>
        </w:rPr>
        <w:t>Supplementary Figures</w:t>
      </w:r>
    </w:p>
    <w:p w:rsidR="00510B3F" w:rsidRDefault="00510B3F" w:rsidP="00122F67">
      <w:pPr>
        <w:spacing w:after="0" w:line="360" w:lineRule="auto"/>
        <w:jc w:val="both"/>
        <w:rPr>
          <w:rFonts w:ascii="Arial" w:hAnsi="Arial" w:cs="Arial"/>
          <w:szCs w:val="20"/>
        </w:rPr>
      </w:pPr>
    </w:p>
    <w:p w:rsidR="00122F67" w:rsidRPr="00510B3F" w:rsidRDefault="00122F67" w:rsidP="00122F67">
      <w:pPr>
        <w:spacing w:after="0" w:line="360" w:lineRule="auto"/>
        <w:jc w:val="both"/>
        <w:rPr>
          <w:rFonts w:ascii="Arial" w:hAnsi="Arial" w:cs="Arial"/>
          <w:szCs w:val="20"/>
        </w:rPr>
      </w:pPr>
      <w:r>
        <w:rPr>
          <w:rFonts w:ascii="Arial" w:hAnsi="Arial" w:cs="Arial"/>
          <w:noProof/>
          <w:szCs w:val="20"/>
          <w:lang w:eastAsia="en-GB"/>
        </w:rPr>
        <w:drawing>
          <wp:inline distT="0" distB="0" distL="0" distR="0">
            <wp:extent cx="4985167" cy="3240000"/>
            <wp:effectExtent l="0" t="0" r="0" b="0"/>
            <wp:docPr id="1" name="Picture 0" descr="Supp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1.tif"/>
                    <pic:cNvPicPr/>
                  </pic:nvPicPr>
                  <pic:blipFill>
                    <a:blip r:embed="rId4"/>
                    <a:stretch>
                      <a:fillRect/>
                    </a:stretch>
                  </pic:blipFill>
                  <pic:spPr>
                    <a:xfrm>
                      <a:off x="0" y="0"/>
                      <a:ext cx="4985167" cy="3240000"/>
                    </a:xfrm>
                    <a:prstGeom prst="rect">
                      <a:avLst/>
                    </a:prstGeom>
                  </pic:spPr>
                </pic:pic>
              </a:graphicData>
            </a:graphic>
          </wp:inline>
        </w:drawing>
      </w:r>
    </w:p>
    <w:p w:rsidR="00510B3F" w:rsidRDefault="00510B3F" w:rsidP="00122F67">
      <w:pPr>
        <w:spacing w:after="0" w:line="360" w:lineRule="auto"/>
        <w:jc w:val="both"/>
        <w:rPr>
          <w:rFonts w:ascii="Arial" w:hAnsi="Arial" w:cs="Arial"/>
          <w:sz w:val="20"/>
          <w:szCs w:val="20"/>
          <w:lang w:val="en-US"/>
        </w:rPr>
      </w:pPr>
      <w:r w:rsidRPr="00510B3F">
        <w:rPr>
          <w:rFonts w:ascii="Arial" w:hAnsi="Arial" w:cs="Arial"/>
          <w:b/>
          <w:bCs/>
          <w:sz w:val="20"/>
          <w:szCs w:val="20"/>
          <w:lang w:val="en-US"/>
        </w:rPr>
        <w:t xml:space="preserve">Figure </w:t>
      </w:r>
      <w:r w:rsidR="00864076">
        <w:rPr>
          <w:rFonts w:ascii="Arial" w:hAnsi="Arial" w:cs="Arial"/>
          <w:b/>
          <w:bCs/>
          <w:sz w:val="20"/>
          <w:szCs w:val="20"/>
          <w:lang w:val="en-US"/>
        </w:rPr>
        <w:t>S</w:t>
      </w:r>
      <w:r w:rsidRPr="00510B3F">
        <w:rPr>
          <w:rFonts w:ascii="Arial" w:hAnsi="Arial" w:cs="Arial"/>
          <w:b/>
          <w:bCs/>
          <w:sz w:val="20"/>
          <w:szCs w:val="20"/>
          <w:lang w:val="en-US"/>
        </w:rPr>
        <w:t xml:space="preserve">1: Box and whisker plot showing cfDNA levels in metastatic STS patients, non-metastatic STS patients and healthy controls. </w:t>
      </w:r>
      <w:r w:rsidRPr="00510B3F">
        <w:rPr>
          <w:rFonts w:ascii="Arial" w:hAnsi="Arial" w:cs="Arial"/>
          <w:sz w:val="20"/>
          <w:szCs w:val="20"/>
          <w:lang w:val="en-US"/>
        </w:rPr>
        <w:t>Boxes represent 25th-75th percentile, whiskers the range and horizontal lines the median. The metastatic patient and healthy control data has previously been published by our group. No significant difference was seen between the non-metastatic patient intra-operative or post-operative cfDNA levels, and healthy control cfDNA levels (p= 0.07, unpaired t-test). Metastatic patient cfDNA levels are significantly higher than cfDNA levels in every other group (</w:t>
      </w:r>
      <w:r w:rsidR="008255AD">
        <w:rPr>
          <w:rFonts w:ascii="Arial" w:hAnsi="Arial" w:cs="Arial"/>
          <w:sz w:val="20"/>
          <w:szCs w:val="20"/>
          <w:lang w:val="en-US"/>
        </w:rPr>
        <w:t>p</w:t>
      </w:r>
      <w:r w:rsidRPr="00510B3F">
        <w:rPr>
          <w:rFonts w:ascii="Arial" w:hAnsi="Arial" w:cs="Arial"/>
          <w:sz w:val="20"/>
          <w:szCs w:val="20"/>
          <w:lang w:val="en-US"/>
        </w:rPr>
        <w:t xml:space="preserve">&lt;0.0001). </w:t>
      </w:r>
    </w:p>
    <w:p w:rsidR="00122F67" w:rsidRDefault="00122F67">
      <w:pPr>
        <w:rPr>
          <w:rFonts w:ascii="Arial" w:hAnsi="Arial" w:cs="Arial"/>
          <w:sz w:val="20"/>
          <w:szCs w:val="20"/>
        </w:rPr>
      </w:pPr>
      <w:r>
        <w:rPr>
          <w:rFonts w:ascii="Arial" w:hAnsi="Arial" w:cs="Arial"/>
          <w:sz w:val="20"/>
          <w:szCs w:val="20"/>
        </w:rPr>
        <w:br w:type="page"/>
      </w:r>
    </w:p>
    <w:p w:rsidR="00510B3F" w:rsidRDefault="00122F67" w:rsidP="00122F67">
      <w:pPr>
        <w:spacing w:after="0" w:line="360" w:lineRule="auto"/>
        <w:jc w:val="both"/>
        <w:rPr>
          <w:rFonts w:ascii="Arial" w:hAnsi="Arial" w:cs="Arial"/>
          <w:sz w:val="20"/>
          <w:szCs w:val="20"/>
        </w:rPr>
      </w:pPr>
      <w:r>
        <w:rPr>
          <w:rFonts w:ascii="Arial" w:hAnsi="Arial" w:cs="Arial"/>
          <w:noProof/>
          <w:sz w:val="20"/>
          <w:szCs w:val="20"/>
          <w:lang w:eastAsia="en-GB"/>
        </w:rPr>
        <w:lastRenderedPageBreak/>
        <w:drawing>
          <wp:inline distT="0" distB="0" distL="0" distR="0">
            <wp:extent cx="6138655" cy="4680000"/>
            <wp:effectExtent l="19050" t="0" r="0" b="0"/>
            <wp:docPr id="2" name="Picture 1" descr="Supp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2.tif"/>
                    <pic:cNvPicPr/>
                  </pic:nvPicPr>
                  <pic:blipFill>
                    <a:blip r:embed="rId5"/>
                    <a:stretch>
                      <a:fillRect/>
                    </a:stretch>
                  </pic:blipFill>
                  <pic:spPr>
                    <a:xfrm>
                      <a:off x="0" y="0"/>
                      <a:ext cx="6138655" cy="4680000"/>
                    </a:xfrm>
                    <a:prstGeom prst="rect">
                      <a:avLst/>
                    </a:prstGeom>
                  </pic:spPr>
                </pic:pic>
              </a:graphicData>
            </a:graphic>
          </wp:inline>
        </w:drawing>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b/>
          <w:bCs/>
          <w:sz w:val="20"/>
          <w:szCs w:val="20"/>
        </w:rPr>
        <w:t xml:space="preserve">Figure </w:t>
      </w:r>
      <w:r w:rsidR="00864076">
        <w:rPr>
          <w:rFonts w:ascii="Arial" w:hAnsi="Arial" w:cs="Arial"/>
          <w:b/>
          <w:bCs/>
          <w:sz w:val="20"/>
          <w:szCs w:val="20"/>
        </w:rPr>
        <w:t>S</w:t>
      </w:r>
      <w:r w:rsidRPr="00510B3F">
        <w:rPr>
          <w:rFonts w:ascii="Arial" w:hAnsi="Arial" w:cs="Arial"/>
          <w:b/>
          <w:bCs/>
          <w:sz w:val="20"/>
          <w:szCs w:val="20"/>
        </w:rPr>
        <w:t xml:space="preserve">2: Relationship between tumour characteristics and intra-operative </w:t>
      </w:r>
      <w:proofErr w:type="spellStart"/>
      <w:r w:rsidRPr="00510B3F">
        <w:rPr>
          <w:rFonts w:ascii="Arial" w:hAnsi="Arial" w:cs="Arial"/>
          <w:b/>
          <w:bCs/>
          <w:sz w:val="20"/>
          <w:szCs w:val="20"/>
        </w:rPr>
        <w:t>cfDNA</w:t>
      </w:r>
      <w:proofErr w:type="spellEnd"/>
      <w:r w:rsidRPr="00510B3F">
        <w:rPr>
          <w:rFonts w:ascii="Arial" w:hAnsi="Arial" w:cs="Arial"/>
          <w:b/>
          <w:bCs/>
          <w:sz w:val="20"/>
          <w:szCs w:val="20"/>
        </w:rPr>
        <w:t xml:space="preserve"> levels.</w:t>
      </w:r>
      <w:r w:rsidRPr="00510B3F">
        <w:rPr>
          <w:rFonts w:ascii="Arial" w:hAnsi="Arial" w:cs="Arial"/>
          <w:sz w:val="20"/>
          <w:szCs w:val="20"/>
        </w:rPr>
        <w:t xml:space="preserve"> </w:t>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sz w:val="20"/>
          <w:szCs w:val="20"/>
        </w:rPr>
        <w:t xml:space="preserve">(a) Comparison of STS volume and intra-operative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No significant correlation was identified (R</w:t>
      </w:r>
      <w:r w:rsidRPr="00510B3F">
        <w:rPr>
          <w:rFonts w:ascii="Arial" w:hAnsi="Arial" w:cs="Arial"/>
          <w:sz w:val="20"/>
          <w:szCs w:val="20"/>
          <w:vertAlign w:val="superscript"/>
        </w:rPr>
        <w:t>2</w:t>
      </w:r>
      <w:r w:rsidRPr="00510B3F">
        <w:rPr>
          <w:rFonts w:ascii="Arial" w:hAnsi="Arial" w:cs="Arial"/>
          <w:sz w:val="20"/>
          <w:szCs w:val="20"/>
        </w:rPr>
        <w:t xml:space="preserve">=0.19). </w:t>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sz w:val="20"/>
          <w:szCs w:val="20"/>
        </w:rPr>
        <w:t xml:space="preserve">(b) Comparison of the intra-operative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with tumours of different </w:t>
      </w:r>
      <w:proofErr w:type="spellStart"/>
      <w:r w:rsidRPr="00510B3F">
        <w:rPr>
          <w:rFonts w:ascii="Arial" w:hAnsi="Arial" w:cs="Arial"/>
          <w:sz w:val="20"/>
          <w:szCs w:val="20"/>
        </w:rPr>
        <w:t>Trojani</w:t>
      </w:r>
      <w:proofErr w:type="spellEnd"/>
      <w:r w:rsidRPr="00510B3F">
        <w:rPr>
          <w:rFonts w:ascii="Arial" w:hAnsi="Arial" w:cs="Arial"/>
          <w:sz w:val="20"/>
          <w:szCs w:val="20"/>
        </w:rPr>
        <w:t xml:space="preserve"> grades. The mean and standard error of the mean are represented by error bars. The mean intra-operative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 was 12.6 (±3.9 SEM, n=12) for the grade 2 tumours and 11.4 (±2.6 SEM, n=11) for the grade 3 tumours. The single grade 1 STS analysed had an intra-operative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 of 15.8ng/ml. No significant difference was seen between groups (p=0.9, ANOVA). </w:t>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sz w:val="20"/>
          <w:szCs w:val="20"/>
        </w:rPr>
        <w:t xml:space="preserve">(c) Intra-operative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categorised by STS subtype. Error bars representing the SEM are shown where multiple patients with the same STS subtype were analysed (undifferentiated pleomorphic sarcoma n=4, dedifferentiated liposarcoma n=2, leiomyosarcoma n=5, myxofibrosarcoma n=10). Cell free DNA levels were not significantly different between groups (</w:t>
      </w:r>
      <w:r w:rsidR="0093579C">
        <w:rPr>
          <w:rFonts w:ascii="Arial" w:hAnsi="Arial" w:cs="Arial"/>
          <w:sz w:val="20"/>
          <w:szCs w:val="20"/>
        </w:rPr>
        <w:t>p</w:t>
      </w:r>
      <w:r w:rsidRPr="00510B3F">
        <w:rPr>
          <w:rFonts w:ascii="Arial" w:hAnsi="Arial" w:cs="Arial"/>
          <w:sz w:val="20"/>
          <w:szCs w:val="20"/>
        </w:rPr>
        <w:t>=0.96, ANOVA).</w:t>
      </w:r>
    </w:p>
    <w:p w:rsidR="00122F67" w:rsidRDefault="00122F67">
      <w:pPr>
        <w:rPr>
          <w:rFonts w:ascii="Arial" w:hAnsi="Arial" w:cs="Arial"/>
          <w:sz w:val="20"/>
          <w:szCs w:val="20"/>
        </w:rPr>
      </w:pPr>
      <w:r>
        <w:rPr>
          <w:rFonts w:ascii="Arial" w:hAnsi="Arial" w:cs="Arial"/>
          <w:sz w:val="20"/>
          <w:szCs w:val="20"/>
        </w:rPr>
        <w:br w:type="page"/>
      </w:r>
    </w:p>
    <w:p w:rsidR="00C5707B" w:rsidRDefault="00122F67" w:rsidP="00122F67">
      <w:pPr>
        <w:spacing w:after="0" w:line="360" w:lineRule="auto"/>
        <w:jc w:val="both"/>
        <w:rPr>
          <w:rFonts w:ascii="Arial" w:hAnsi="Arial" w:cs="Arial"/>
          <w:sz w:val="20"/>
          <w:szCs w:val="20"/>
        </w:rPr>
      </w:pPr>
      <w:r>
        <w:rPr>
          <w:rFonts w:ascii="Arial" w:hAnsi="Arial" w:cs="Arial"/>
          <w:noProof/>
          <w:sz w:val="20"/>
          <w:szCs w:val="20"/>
          <w:lang w:eastAsia="en-GB"/>
        </w:rPr>
        <w:lastRenderedPageBreak/>
        <w:drawing>
          <wp:inline distT="0" distB="0" distL="0" distR="0">
            <wp:extent cx="3416736" cy="5311471"/>
            <wp:effectExtent l="19050" t="0" r="0" b="0"/>
            <wp:docPr id="3" name="Picture 2" descr="Supp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3.tif"/>
                    <pic:cNvPicPr/>
                  </pic:nvPicPr>
                  <pic:blipFill>
                    <a:blip r:embed="rId6"/>
                    <a:stretch>
                      <a:fillRect/>
                    </a:stretch>
                  </pic:blipFill>
                  <pic:spPr>
                    <a:xfrm>
                      <a:off x="0" y="0"/>
                      <a:ext cx="3418815" cy="5314702"/>
                    </a:xfrm>
                    <a:prstGeom prst="rect">
                      <a:avLst/>
                    </a:prstGeom>
                  </pic:spPr>
                </pic:pic>
              </a:graphicData>
            </a:graphic>
          </wp:inline>
        </w:drawing>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b/>
          <w:bCs/>
          <w:sz w:val="20"/>
          <w:szCs w:val="20"/>
        </w:rPr>
        <w:t xml:space="preserve">Figure </w:t>
      </w:r>
      <w:r w:rsidR="00864076">
        <w:rPr>
          <w:rFonts w:ascii="Arial" w:hAnsi="Arial" w:cs="Arial"/>
          <w:b/>
          <w:bCs/>
          <w:sz w:val="20"/>
          <w:szCs w:val="20"/>
        </w:rPr>
        <w:t>S</w:t>
      </w:r>
      <w:r w:rsidRPr="00510B3F">
        <w:rPr>
          <w:rFonts w:ascii="Arial" w:hAnsi="Arial" w:cs="Arial"/>
          <w:b/>
          <w:bCs/>
          <w:sz w:val="20"/>
          <w:szCs w:val="20"/>
        </w:rPr>
        <w:t xml:space="preserve">3: Comparison of </w:t>
      </w:r>
      <w:proofErr w:type="spellStart"/>
      <w:r w:rsidRPr="00510B3F">
        <w:rPr>
          <w:rFonts w:ascii="Arial" w:hAnsi="Arial" w:cs="Arial"/>
          <w:b/>
          <w:bCs/>
          <w:sz w:val="20"/>
          <w:szCs w:val="20"/>
        </w:rPr>
        <w:t>peri</w:t>
      </w:r>
      <w:proofErr w:type="spellEnd"/>
      <w:r w:rsidRPr="00510B3F">
        <w:rPr>
          <w:rFonts w:ascii="Arial" w:hAnsi="Arial" w:cs="Arial"/>
          <w:b/>
          <w:bCs/>
          <w:sz w:val="20"/>
          <w:szCs w:val="20"/>
        </w:rPr>
        <w:t xml:space="preserve">-operative </w:t>
      </w:r>
      <w:proofErr w:type="spellStart"/>
      <w:r w:rsidRPr="00510B3F">
        <w:rPr>
          <w:rFonts w:ascii="Arial" w:hAnsi="Arial" w:cs="Arial"/>
          <w:b/>
          <w:bCs/>
          <w:sz w:val="20"/>
          <w:szCs w:val="20"/>
        </w:rPr>
        <w:t>cfDNA</w:t>
      </w:r>
      <w:proofErr w:type="spellEnd"/>
      <w:r w:rsidRPr="00510B3F">
        <w:rPr>
          <w:rFonts w:ascii="Arial" w:hAnsi="Arial" w:cs="Arial"/>
          <w:b/>
          <w:bCs/>
          <w:sz w:val="20"/>
          <w:szCs w:val="20"/>
        </w:rPr>
        <w:t xml:space="preserve"> levels and recurrence in STS patients. </w:t>
      </w:r>
      <w:r w:rsidRPr="00510B3F">
        <w:rPr>
          <w:rFonts w:ascii="Arial" w:hAnsi="Arial" w:cs="Arial"/>
          <w:sz w:val="20"/>
          <w:szCs w:val="20"/>
        </w:rPr>
        <w:t xml:space="preserve">(a) Comparison of intra-operative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in patients that developed recurrence with patients that remained disease free during follow up. Horizontal bars represent the mean and SEM. The participant numbers of outlying patients are also shown. Mean </w:t>
      </w:r>
      <w:proofErr w:type="spellStart"/>
      <w:r w:rsidRPr="00510B3F">
        <w:rPr>
          <w:rFonts w:ascii="Arial" w:hAnsi="Arial" w:cs="Arial"/>
          <w:sz w:val="20"/>
          <w:szCs w:val="20"/>
        </w:rPr>
        <w:t>intraoperative</w:t>
      </w:r>
      <w:proofErr w:type="spellEnd"/>
      <w:r w:rsidRPr="00510B3F">
        <w:rPr>
          <w:rFonts w:ascii="Arial" w:hAnsi="Arial" w:cs="Arial"/>
          <w:sz w:val="20"/>
          <w:szCs w:val="20"/>
        </w:rPr>
        <w:t xml:space="preser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for patients with recurrence was 10.5ng/ml (± 3.8 SEM, median 7.7, range 2.5-27.5) compared to 12.8ng/ml  (± 2.7 SEM, median 9.0, range 2.3-43.6) in patients  that were disease free during follow up (</w:t>
      </w:r>
      <w:r w:rsidR="0093579C">
        <w:rPr>
          <w:rFonts w:ascii="Arial" w:hAnsi="Arial" w:cs="Arial"/>
          <w:sz w:val="20"/>
          <w:szCs w:val="20"/>
        </w:rPr>
        <w:t>p</w:t>
      </w:r>
      <w:r w:rsidRPr="00510B3F">
        <w:rPr>
          <w:rFonts w:ascii="Arial" w:hAnsi="Arial" w:cs="Arial"/>
          <w:sz w:val="20"/>
          <w:szCs w:val="20"/>
        </w:rPr>
        <w:t xml:space="preserve">=0.67, unpaired t-test.) </w:t>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sz w:val="20"/>
          <w:szCs w:val="20"/>
        </w:rPr>
        <w:t xml:space="preserve">(b) comparison of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at first post-operative follow up appointments in patients with and without recurrence. Mean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at this stage were 9.5ng/ml (± 1.2 SEM, median 7.5, range 2-30) in patients that suffered recurrence and 9.0 ng/ml (± 1.2 SEM, median 7.8, range 3-19.7) in patients without recurrence (</w:t>
      </w:r>
      <w:r w:rsidR="0093579C">
        <w:rPr>
          <w:rFonts w:ascii="Arial" w:hAnsi="Arial" w:cs="Arial"/>
          <w:sz w:val="20"/>
          <w:szCs w:val="20"/>
        </w:rPr>
        <w:t>p</w:t>
      </w:r>
      <w:r w:rsidRPr="00510B3F">
        <w:rPr>
          <w:rFonts w:ascii="Arial" w:hAnsi="Arial" w:cs="Arial"/>
          <w:sz w:val="20"/>
          <w:szCs w:val="20"/>
        </w:rPr>
        <w:t xml:space="preserve">=0.85, unpaired t-test). </w:t>
      </w:r>
    </w:p>
    <w:p w:rsidR="00122F67" w:rsidRDefault="00510B3F" w:rsidP="00122F67">
      <w:pPr>
        <w:spacing w:after="0" w:line="360" w:lineRule="auto"/>
        <w:jc w:val="both"/>
        <w:rPr>
          <w:rFonts w:ascii="Arial" w:hAnsi="Arial" w:cs="Arial"/>
          <w:sz w:val="20"/>
          <w:szCs w:val="20"/>
        </w:rPr>
      </w:pPr>
      <w:r w:rsidRPr="00510B3F">
        <w:rPr>
          <w:rFonts w:ascii="Arial" w:hAnsi="Arial" w:cs="Arial"/>
          <w:sz w:val="20"/>
          <w:szCs w:val="20"/>
        </w:rPr>
        <w:t xml:space="preserve">(c) Comparison of the difference in intra- and post-operative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between the two groups.  On average </w:t>
      </w:r>
      <w:proofErr w:type="spellStart"/>
      <w:r w:rsidRPr="00510B3F">
        <w:rPr>
          <w:rFonts w:ascii="Arial" w:hAnsi="Arial" w:cs="Arial"/>
          <w:sz w:val="20"/>
          <w:szCs w:val="20"/>
        </w:rPr>
        <w:t>cfDNA</w:t>
      </w:r>
      <w:proofErr w:type="spellEnd"/>
      <w:r w:rsidRPr="00510B3F">
        <w:rPr>
          <w:rFonts w:ascii="Arial" w:hAnsi="Arial" w:cs="Arial"/>
          <w:sz w:val="20"/>
          <w:szCs w:val="20"/>
        </w:rPr>
        <w:t xml:space="preserve"> levels rose by a mean of 0.63ng/ml (± 6.2 SEM, median -3, range -16.8-24.3) following surgery in patients that suffered recurrence. Cell free DNA rose by a mean of -1.5ng/ml (± 1.6 SEM, median -0.2, range -18-5.4) in patients that remained disease free (</w:t>
      </w:r>
      <w:r w:rsidR="0093579C">
        <w:rPr>
          <w:rFonts w:ascii="Arial" w:hAnsi="Arial" w:cs="Arial"/>
          <w:sz w:val="20"/>
          <w:szCs w:val="20"/>
        </w:rPr>
        <w:t>p</w:t>
      </w:r>
      <w:r w:rsidRPr="00510B3F">
        <w:rPr>
          <w:rFonts w:ascii="Arial" w:hAnsi="Arial" w:cs="Arial"/>
          <w:sz w:val="20"/>
          <w:szCs w:val="20"/>
        </w:rPr>
        <w:t xml:space="preserve">= 0.85, unpaired t-test). One patient was lost to follow up. </w:t>
      </w:r>
      <w:r w:rsidR="00122F67">
        <w:rPr>
          <w:rFonts w:ascii="Arial" w:hAnsi="Arial" w:cs="Arial"/>
          <w:sz w:val="20"/>
          <w:szCs w:val="20"/>
        </w:rPr>
        <w:br w:type="page"/>
      </w:r>
    </w:p>
    <w:p w:rsidR="00510B3F" w:rsidRDefault="00122F67" w:rsidP="00122F67">
      <w:pPr>
        <w:spacing w:after="0" w:line="360" w:lineRule="auto"/>
        <w:jc w:val="both"/>
        <w:rPr>
          <w:rFonts w:ascii="Arial" w:hAnsi="Arial" w:cs="Arial"/>
          <w:sz w:val="20"/>
          <w:szCs w:val="20"/>
        </w:rPr>
      </w:pPr>
      <w:r>
        <w:rPr>
          <w:rFonts w:ascii="Arial" w:hAnsi="Arial" w:cs="Arial"/>
          <w:noProof/>
          <w:sz w:val="20"/>
          <w:szCs w:val="20"/>
          <w:lang w:eastAsia="en-GB"/>
        </w:rPr>
        <w:lastRenderedPageBreak/>
        <w:drawing>
          <wp:inline distT="0" distB="0" distL="0" distR="0">
            <wp:extent cx="4627026" cy="4680000"/>
            <wp:effectExtent l="19050" t="0" r="2124" b="0"/>
            <wp:docPr id="4" name="Picture 3" descr="Supp 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4.tif"/>
                    <pic:cNvPicPr/>
                  </pic:nvPicPr>
                  <pic:blipFill>
                    <a:blip r:embed="rId7"/>
                    <a:stretch>
                      <a:fillRect/>
                    </a:stretch>
                  </pic:blipFill>
                  <pic:spPr>
                    <a:xfrm>
                      <a:off x="0" y="0"/>
                      <a:ext cx="4627026" cy="4680000"/>
                    </a:xfrm>
                    <a:prstGeom prst="rect">
                      <a:avLst/>
                    </a:prstGeom>
                  </pic:spPr>
                </pic:pic>
              </a:graphicData>
            </a:graphic>
          </wp:inline>
        </w:drawing>
      </w:r>
    </w:p>
    <w:p w:rsidR="00510B3F" w:rsidRDefault="00510B3F" w:rsidP="00122F67">
      <w:pPr>
        <w:spacing w:after="0" w:line="360" w:lineRule="auto"/>
        <w:jc w:val="both"/>
        <w:rPr>
          <w:rFonts w:ascii="Arial" w:hAnsi="Arial" w:cs="Arial"/>
          <w:sz w:val="20"/>
          <w:szCs w:val="20"/>
        </w:rPr>
      </w:pP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b/>
          <w:bCs/>
          <w:sz w:val="20"/>
          <w:szCs w:val="20"/>
          <w:lang w:val="en-US"/>
        </w:rPr>
        <w:t xml:space="preserve">Figure </w:t>
      </w:r>
      <w:r w:rsidR="00864076">
        <w:rPr>
          <w:rFonts w:ascii="Arial" w:hAnsi="Arial" w:cs="Arial"/>
          <w:b/>
          <w:bCs/>
          <w:sz w:val="20"/>
          <w:szCs w:val="20"/>
          <w:lang w:val="en-US"/>
        </w:rPr>
        <w:t>S</w:t>
      </w:r>
      <w:r w:rsidRPr="00510B3F">
        <w:rPr>
          <w:rFonts w:ascii="Arial" w:hAnsi="Arial" w:cs="Arial"/>
          <w:b/>
          <w:bCs/>
          <w:sz w:val="20"/>
          <w:szCs w:val="20"/>
          <w:lang w:val="en-US"/>
        </w:rPr>
        <w:t xml:space="preserve">4: Comparison of </w:t>
      </w:r>
      <w:proofErr w:type="spellStart"/>
      <w:r w:rsidRPr="00510B3F">
        <w:rPr>
          <w:rFonts w:ascii="Arial" w:hAnsi="Arial" w:cs="Arial"/>
          <w:b/>
          <w:bCs/>
          <w:sz w:val="20"/>
          <w:szCs w:val="20"/>
          <w:lang w:val="en-US"/>
        </w:rPr>
        <w:t>peri</w:t>
      </w:r>
      <w:proofErr w:type="spellEnd"/>
      <w:r w:rsidRPr="00510B3F">
        <w:rPr>
          <w:rFonts w:ascii="Arial" w:hAnsi="Arial" w:cs="Arial"/>
          <w:b/>
          <w:bCs/>
          <w:sz w:val="20"/>
          <w:szCs w:val="20"/>
          <w:lang w:val="en-US"/>
        </w:rPr>
        <w:t xml:space="preserve">-operative </w:t>
      </w:r>
      <w:proofErr w:type="spellStart"/>
      <w:r w:rsidRPr="00510B3F">
        <w:rPr>
          <w:rFonts w:ascii="Arial" w:hAnsi="Arial" w:cs="Arial"/>
          <w:b/>
          <w:bCs/>
          <w:sz w:val="20"/>
          <w:szCs w:val="20"/>
          <w:lang w:val="en-US"/>
        </w:rPr>
        <w:t>cfDNA</w:t>
      </w:r>
      <w:proofErr w:type="spellEnd"/>
      <w:r w:rsidRPr="00510B3F">
        <w:rPr>
          <w:rFonts w:ascii="Arial" w:hAnsi="Arial" w:cs="Arial"/>
          <w:b/>
          <w:bCs/>
          <w:sz w:val="20"/>
          <w:szCs w:val="20"/>
          <w:lang w:val="en-US"/>
        </w:rPr>
        <w:t xml:space="preserve"> levels and surgical resection margins in STS patients.</w:t>
      </w:r>
      <w:r w:rsidRPr="00510B3F">
        <w:rPr>
          <w:rFonts w:ascii="Arial" w:hAnsi="Arial" w:cs="Arial"/>
          <w:sz w:val="20"/>
          <w:szCs w:val="20"/>
          <w:lang w:val="en-US"/>
        </w:rPr>
        <w:t xml:space="preserve"> </w:t>
      </w:r>
    </w:p>
    <w:p w:rsidR="00510B3F" w:rsidRPr="00510B3F" w:rsidRDefault="00510B3F" w:rsidP="00122F67">
      <w:pPr>
        <w:spacing w:after="0" w:line="360" w:lineRule="auto"/>
        <w:jc w:val="both"/>
        <w:rPr>
          <w:rFonts w:ascii="Arial" w:hAnsi="Arial" w:cs="Arial"/>
          <w:sz w:val="20"/>
          <w:szCs w:val="20"/>
        </w:rPr>
      </w:pPr>
      <w:r w:rsidRPr="00510B3F">
        <w:rPr>
          <w:rFonts w:ascii="Arial" w:hAnsi="Arial" w:cs="Arial"/>
          <w:sz w:val="20"/>
          <w:szCs w:val="20"/>
          <w:lang w:val="en-US"/>
        </w:rPr>
        <w:t>(a) Comparison of post-operative cfDNA levels in patients that underwent wide (R0) resections and marginal (R1) resections (unplanned and planned). No significant difference was seen in the post-operative cfDNA levels of these groups (</w:t>
      </w:r>
      <w:r w:rsidR="0093579C">
        <w:rPr>
          <w:rFonts w:ascii="Arial" w:hAnsi="Arial" w:cs="Arial"/>
          <w:sz w:val="20"/>
          <w:szCs w:val="20"/>
          <w:lang w:val="en-US"/>
        </w:rPr>
        <w:t>p</w:t>
      </w:r>
      <w:r w:rsidRPr="00510B3F">
        <w:rPr>
          <w:rFonts w:ascii="Arial" w:hAnsi="Arial" w:cs="Arial"/>
          <w:sz w:val="20"/>
          <w:szCs w:val="20"/>
          <w:lang w:val="en-US"/>
        </w:rPr>
        <w:t>=0.97, unpaired t-test).  (b) plots the difference between each patient’s intra- and post-operative cfDNA level. The graph compares these differences in patients that underwent wide or marginal resections. No significant difference was seen between groups (</w:t>
      </w:r>
      <w:r w:rsidR="0093579C">
        <w:rPr>
          <w:rFonts w:ascii="Arial" w:hAnsi="Arial" w:cs="Arial"/>
          <w:sz w:val="20"/>
          <w:szCs w:val="20"/>
          <w:lang w:val="en-US"/>
        </w:rPr>
        <w:t>p</w:t>
      </w:r>
      <w:r w:rsidRPr="00510B3F">
        <w:rPr>
          <w:rFonts w:ascii="Arial" w:hAnsi="Arial" w:cs="Arial"/>
          <w:sz w:val="20"/>
          <w:szCs w:val="20"/>
          <w:lang w:val="en-US"/>
        </w:rPr>
        <w:t xml:space="preserve">= 0.61, paired t-test). The participant number of 31 is shown as potential outlier. </w:t>
      </w:r>
    </w:p>
    <w:p w:rsidR="00122F67" w:rsidRDefault="00122F67">
      <w:pPr>
        <w:rPr>
          <w:rFonts w:ascii="Arial" w:hAnsi="Arial" w:cs="Arial"/>
          <w:sz w:val="20"/>
          <w:szCs w:val="20"/>
        </w:rPr>
      </w:pPr>
      <w:r>
        <w:rPr>
          <w:rFonts w:ascii="Arial" w:hAnsi="Arial" w:cs="Arial"/>
          <w:sz w:val="20"/>
          <w:szCs w:val="20"/>
        </w:rPr>
        <w:br w:type="page"/>
      </w:r>
    </w:p>
    <w:p w:rsidR="00510B3F" w:rsidRDefault="00122F67" w:rsidP="00122F67">
      <w:pPr>
        <w:spacing w:after="0" w:line="360" w:lineRule="auto"/>
        <w:jc w:val="both"/>
        <w:rPr>
          <w:rFonts w:ascii="Arial" w:hAnsi="Arial" w:cs="Arial"/>
          <w:sz w:val="20"/>
          <w:szCs w:val="20"/>
        </w:rPr>
      </w:pPr>
      <w:r>
        <w:rPr>
          <w:rFonts w:ascii="Arial" w:hAnsi="Arial" w:cs="Arial"/>
          <w:noProof/>
          <w:sz w:val="20"/>
          <w:szCs w:val="20"/>
          <w:lang w:eastAsia="en-GB"/>
        </w:rPr>
        <w:lastRenderedPageBreak/>
        <w:drawing>
          <wp:inline distT="0" distB="0" distL="0" distR="0">
            <wp:extent cx="4908260" cy="5040000"/>
            <wp:effectExtent l="19050" t="0" r="6640" b="0"/>
            <wp:docPr id="5" name="Picture 4" descr="Supp 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5.tif"/>
                    <pic:cNvPicPr/>
                  </pic:nvPicPr>
                  <pic:blipFill>
                    <a:blip r:embed="rId8"/>
                    <a:stretch>
                      <a:fillRect/>
                    </a:stretch>
                  </pic:blipFill>
                  <pic:spPr>
                    <a:xfrm>
                      <a:off x="0" y="0"/>
                      <a:ext cx="4908260" cy="5040000"/>
                    </a:xfrm>
                    <a:prstGeom prst="rect">
                      <a:avLst/>
                    </a:prstGeom>
                  </pic:spPr>
                </pic:pic>
              </a:graphicData>
            </a:graphic>
          </wp:inline>
        </w:drawing>
      </w:r>
    </w:p>
    <w:p w:rsidR="007F6824" w:rsidRPr="007F6824" w:rsidRDefault="007F6824" w:rsidP="00122F67">
      <w:pPr>
        <w:spacing w:after="0" w:line="360" w:lineRule="auto"/>
        <w:jc w:val="both"/>
        <w:rPr>
          <w:rFonts w:ascii="Arial" w:hAnsi="Arial" w:cs="Arial"/>
          <w:sz w:val="20"/>
          <w:szCs w:val="20"/>
        </w:rPr>
      </w:pPr>
      <w:r w:rsidRPr="007F6824">
        <w:rPr>
          <w:rFonts w:ascii="Arial" w:hAnsi="Arial" w:cs="Arial"/>
          <w:b/>
          <w:bCs/>
          <w:sz w:val="20"/>
          <w:szCs w:val="20"/>
        </w:rPr>
        <w:t xml:space="preserve">Figure </w:t>
      </w:r>
      <w:r w:rsidR="00864076">
        <w:rPr>
          <w:rFonts w:ascii="Arial" w:hAnsi="Arial" w:cs="Arial"/>
          <w:b/>
          <w:bCs/>
          <w:sz w:val="20"/>
          <w:szCs w:val="20"/>
        </w:rPr>
        <w:t>S</w:t>
      </w:r>
      <w:r w:rsidRPr="007F6824">
        <w:rPr>
          <w:rFonts w:ascii="Arial" w:hAnsi="Arial" w:cs="Arial"/>
          <w:b/>
          <w:bCs/>
          <w:sz w:val="20"/>
          <w:szCs w:val="20"/>
        </w:rPr>
        <w:t xml:space="preserve">5: Droplet digital PCR mutation analysis of patient 6 targeting </w:t>
      </w:r>
      <w:r w:rsidRPr="007F6824">
        <w:rPr>
          <w:rFonts w:ascii="Arial" w:hAnsi="Arial" w:cs="Arial"/>
          <w:b/>
          <w:bCs/>
          <w:i/>
          <w:iCs/>
          <w:sz w:val="20"/>
          <w:szCs w:val="20"/>
        </w:rPr>
        <w:t>TP53</w:t>
      </w:r>
      <w:r w:rsidRPr="007F6824">
        <w:rPr>
          <w:rFonts w:ascii="Arial" w:hAnsi="Arial" w:cs="Arial"/>
          <w:b/>
          <w:bCs/>
          <w:sz w:val="20"/>
          <w:szCs w:val="20"/>
        </w:rPr>
        <w:t xml:space="preserve"> (17:7577022 C&gt;T) / </w:t>
      </w:r>
      <w:r w:rsidRPr="007F6824">
        <w:rPr>
          <w:rFonts w:ascii="Arial" w:hAnsi="Arial" w:cs="Arial"/>
          <w:b/>
          <w:bCs/>
          <w:i/>
          <w:iCs/>
          <w:sz w:val="20"/>
          <w:szCs w:val="20"/>
        </w:rPr>
        <w:t>TP53</w:t>
      </w:r>
      <w:proofErr w:type="gramStart"/>
      <w:r w:rsidRPr="007F6824">
        <w:rPr>
          <w:rFonts w:ascii="Arial" w:hAnsi="Arial" w:cs="Arial"/>
          <w:b/>
          <w:bCs/>
          <w:sz w:val="20"/>
          <w:szCs w:val="20"/>
        </w:rPr>
        <w:t>;R306</w:t>
      </w:r>
      <w:proofErr w:type="gramEnd"/>
      <w:r w:rsidRPr="007F6824">
        <w:rPr>
          <w:rFonts w:ascii="Arial" w:hAnsi="Arial" w:cs="Arial"/>
          <w:sz w:val="20"/>
          <w:szCs w:val="20"/>
        </w:rPr>
        <w:t>*</w:t>
      </w:r>
      <w:r w:rsidRPr="007F6824">
        <w:rPr>
          <w:rFonts w:ascii="Arial" w:hAnsi="Arial" w:cs="Arial"/>
          <w:b/>
          <w:bCs/>
          <w:sz w:val="20"/>
          <w:szCs w:val="20"/>
        </w:rPr>
        <w:t>.</w:t>
      </w:r>
      <w:r w:rsidRPr="007F6824">
        <w:rPr>
          <w:rFonts w:ascii="Arial" w:hAnsi="Arial" w:cs="Arial"/>
          <w:sz w:val="20"/>
          <w:szCs w:val="20"/>
        </w:rPr>
        <w:t xml:space="preserve"> </w:t>
      </w:r>
    </w:p>
    <w:p w:rsidR="007F6824" w:rsidRPr="007F6824" w:rsidRDefault="007F6824" w:rsidP="00122F67">
      <w:pPr>
        <w:spacing w:after="0" w:line="360" w:lineRule="auto"/>
        <w:jc w:val="both"/>
        <w:rPr>
          <w:rFonts w:ascii="Arial" w:hAnsi="Arial" w:cs="Arial"/>
          <w:sz w:val="20"/>
          <w:szCs w:val="20"/>
        </w:rPr>
      </w:pPr>
      <w:r w:rsidRPr="007F6824">
        <w:rPr>
          <w:rFonts w:ascii="Arial" w:hAnsi="Arial" w:cs="Arial"/>
          <w:sz w:val="20"/>
          <w:szCs w:val="20"/>
        </w:rPr>
        <w:t>Cumulative droplet count (event number, X axes) and the fluorescent amplitudes of channel 1 (FAM/blue=mutant allele) and channel 2 (HEX/green=wildtype allele), Y axes.  (a) shows the analysis of plasma collected 4, 11, 29 and 33 weeks post-operatively with BC DNA, STS DNA and a non-template control (NTC). (b)</w:t>
      </w:r>
      <w:r w:rsidRPr="007F6824">
        <w:rPr>
          <w:rFonts w:ascii="Arial" w:hAnsi="Arial" w:cs="Arial"/>
          <w:b/>
          <w:bCs/>
          <w:sz w:val="20"/>
          <w:szCs w:val="20"/>
        </w:rPr>
        <w:t xml:space="preserve"> </w:t>
      </w:r>
      <w:r w:rsidRPr="007F6824">
        <w:rPr>
          <w:rFonts w:ascii="Arial" w:hAnsi="Arial" w:cs="Arial"/>
          <w:sz w:val="20"/>
          <w:szCs w:val="20"/>
        </w:rPr>
        <w:t xml:space="preserve">shows the analysis of plasma collected intra-operatively with similar controls. Circulating </w:t>
      </w:r>
      <w:r w:rsidRPr="007F6824">
        <w:rPr>
          <w:rFonts w:ascii="Arial" w:hAnsi="Arial" w:cs="Arial"/>
          <w:i/>
          <w:iCs/>
          <w:sz w:val="20"/>
          <w:szCs w:val="20"/>
        </w:rPr>
        <w:t>TP53</w:t>
      </w:r>
      <w:r w:rsidRPr="007F6824">
        <w:rPr>
          <w:rFonts w:ascii="Arial" w:hAnsi="Arial" w:cs="Arial"/>
          <w:sz w:val="20"/>
          <w:szCs w:val="20"/>
        </w:rPr>
        <w:t xml:space="preserve">; R306* was identified in samples 3 (VAF 0.42%, 254 copies/ml), and 4 (VAF 1.75% (SEM 0.15), 3580 copies/ml (SEM 307)). SEM = Standard error of mean. </w:t>
      </w:r>
    </w:p>
    <w:p w:rsidR="00122F67" w:rsidRDefault="00122F67">
      <w:pPr>
        <w:rPr>
          <w:rFonts w:ascii="Arial" w:hAnsi="Arial" w:cs="Arial"/>
          <w:sz w:val="20"/>
          <w:szCs w:val="20"/>
        </w:rPr>
      </w:pPr>
      <w:r>
        <w:rPr>
          <w:rFonts w:ascii="Arial" w:hAnsi="Arial" w:cs="Arial"/>
          <w:sz w:val="20"/>
          <w:szCs w:val="20"/>
        </w:rPr>
        <w:br w:type="page"/>
      </w:r>
    </w:p>
    <w:p w:rsidR="007F6824" w:rsidRDefault="00122F67" w:rsidP="00122F67">
      <w:pPr>
        <w:spacing w:after="0" w:line="360" w:lineRule="auto"/>
        <w:jc w:val="both"/>
        <w:rPr>
          <w:rFonts w:ascii="Arial" w:hAnsi="Arial" w:cs="Arial"/>
          <w:sz w:val="20"/>
          <w:szCs w:val="20"/>
        </w:rPr>
      </w:pPr>
      <w:r>
        <w:rPr>
          <w:rFonts w:ascii="Arial" w:hAnsi="Arial" w:cs="Arial"/>
          <w:noProof/>
          <w:sz w:val="20"/>
          <w:szCs w:val="20"/>
          <w:lang w:eastAsia="en-GB"/>
        </w:rPr>
        <w:lastRenderedPageBreak/>
        <w:drawing>
          <wp:inline distT="0" distB="0" distL="0" distR="0">
            <wp:extent cx="6120000" cy="3986507"/>
            <wp:effectExtent l="19050" t="0" r="0" b="0"/>
            <wp:docPr id="6" name="Picture 5" descr="Supp 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6.tif"/>
                    <pic:cNvPicPr/>
                  </pic:nvPicPr>
                  <pic:blipFill>
                    <a:blip r:embed="rId9"/>
                    <a:stretch>
                      <a:fillRect/>
                    </a:stretch>
                  </pic:blipFill>
                  <pic:spPr>
                    <a:xfrm>
                      <a:off x="0" y="0"/>
                      <a:ext cx="6120000" cy="3986507"/>
                    </a:xfrm>
                    <a:prstGeom prst="rect">
                      <a:avLst/>
                    </a:prstGeom>
                  </pic:spPr>
                </pic:pic>
              </a:graphicData>
            </a:graphic>
          </wp:inline>
        </w:drawing>
      </w:r>
    </w:p>
    <w:p w:rsidR="007F6824" w:rsidRPr="007F6824" w:rsidRDefault="007F6824" w:rsidP="00122F67">
      <w:pPr>
        <w:spacing w:after="0" w:line="360" w:lineRule="auto"/>
        <w:jc w:val="both"/>
        <w:rPr>
          <w:rFonts w:ascii="Arial" w:hAnsi="Arial" w:cs="Arial"/>
          <w:sz w:val="20"/>
          <w:szCs w:val="20"/>
        </w:rPr>
      </w:pPr>
      <w:r w:rsidRPr="007F6824">
        <w:rPr>
          <w:rFonts w:ascii="Arial" w:hAnsi="Arial" w:cs="Arial"/>
          <w:b/>
          <w:bCs/>
          <w:sz w:val="20"/>
          <w:szCs w:val="20"/>
          <w:lang w:val="en-US"/>
        </w:rPr>
        <w:t xml:space="preserve">Figure </w:t>
      </w:r>
      <w:r w:rsidR="00864076">
        <w:rPr>
          <w:rFonts w:ascii="Arial" w:hAnsi="Arial" w:cs="Arial"/>
          <w:b/>
          <w:bCs/>
          <w:sz w:val="20"/>
          <w:szCs w:val="20"/>
          <w:lang w:val="en-US"/>
        </w:rPr>
        <w:t>S</w:t>
      </w:r>
      <w:r w:rsidRPr="007F6824">
        <w:rPr>
          <w:rFonts w:ascii="Arial" w:hAnsi="Arial" w:cs="Arial"/>
          <w:b/>
          <w:bCs/>
          <w:sz w:val="20"/>
          <w:szCs w:val="20"/>
          <w:lang w:val="en-US"/>
        </w:rPr>
        <w:t xml:space="preserve">6: Droplet digital PCR mutation analysis of patient 22 targeting </w:t>
      </w:r>
      <w:r w:rsidRPr="007F6824">
        <w:rPr>
          <w:rFonts w:ascii="Arial" w:hAnsi="Arial" w:cs="Arial"/>
          <w:b/>
          <w:bCs/>
          <w:i/>
          <w:iCs/>
          <w:sz w:val="20"/>
          <w:szCs w:val="20"/>
          <w:lang w:val="en-US"/>
        </w:rPr>
        <w:t>EPHB6</w:t>
      </w:r>
      <w:r w:rsidRPr="007F6824">
        <w:rPr>
          <w:rFonts w:ascii="Arial" w:hAnsi="Arial" w:cs="Arial"/>
          <w:b/>
          <w:bCs/>
          <w:sz w:val="20"/>
          <w:szCs w:val="20"/>
          <w:lang w:val="en-US"/>
        </w:rPr>
        <w:t xml:space="preserve"> (7: 142563798 G&gt;A)/</w:t>
      </w:r>
      <w:r w:rsidRPr="007F6824">
        <w:rPr>
          <w:rFonts w:ascii="Arial" w:hAnsi="Arial" w:cs="Arial"/>
          <w:b/>
          <w:bCs/>
          <w:i/>
          <w:iCs/>
          <w:sz w:val="20"/>
          <w:szCs w:val="20"/>
          <w:lang w:val="en-US"/>
        </w:rPr>
        <w:t xml:space="preserve"> EPHB6</w:t>
      </w:r>
      <w:proofErr w:type="gramStart"/>
      <w:r w:rsidRPr="007F6824">
        <w:rPr>
          <w:rFonts w:ascii="Arial" w:hAnsi="Arial" w:cs="Arial"/>
          <w:b/>
          <w:bCs/>
          <w:sz w:val="20"/>
          <w:szCs w:val="20"/>
          <w:lang w:val="en-US"/>
        </w:rPr>
        <w:t>;G397R</w:t>
      </w:r>
      <w:proofErr w:type="gramEnd"/>
      <w:r w:rsidRPr="007F6824">
        <w:rPr>
          <w:rFonts w:ascii="Arial" w:hAnsi="Arial" w:cs="Arial"/>
          <w:b/>
          <w:bCs/>
          <w:sz w:val="20"/>
          <w:szCs w:val="20"/>
          <w:lang w:val="en-US"/>
        </w:rPr>
        <w:t xml:space="preserve">. </w:t>
      </w:r>
    </w:p>
    <w:p w:rsidR="007F6824" w:rsidRPr="00510B3F" w:rsidRDefault="007F6824" w:rsidP="00122F67">
      <w:pPr>
        <w:spacing w:after="0" w:line="360" w:lineRule="auto"/>
        <w:jc w:val="both"/>
        <w:rPr>
          <w:rFonts w:ascii="Arial" w:hAnsi="Arial" w:cs="Arial"/>
          <w:sz w:val="20"/>
          <w:szCs w:val="20"/>
        </w:rPr>
      </w:pPr>
      <w:r w:rsidRPr="007F6824">
        <w:rPr>
          <w:rFonts w:ascii="Arial" w:hAnsi="Arial" w:cs="Arial"/>
          <w:sz w:val="20"/>
          <w:szCs w:val="20"/>
          <w:lang w:val="en-US"/>
        </w:rPr>
        <w:t>Cumulative droplet count (event number, X axes) and the fluorescent amplitudes of channel 1 (FAM/blue=mutant allele) and channel 2 (HEX/green=wildtype allele), Y axes. Patient 22’s BC DNA, STS DNA, and a non-template control (NTC) reaction were used as controls. Panels a/b, c and d show the analyses of plasma samples 1, 4 and 5 respectively. Circulating</w:t>
      </w:r>
      <w:r w:rsidRPr="007F6824">
        <w:rPr>
          <w:rFonts w:ascii="Arial" w:hAnsi="Arial" w:cs="Arial"/>
          <w:i/>
          <w:iCs/>
          <w:sz w:val="20"/>
          <w:szCs w:val="20"/>
          <w:lang w:val="en-US"/>
        </w:rPr>
        <w:t xml:space="preserve"> EPHB6</w:t>
      </w:r>
      <w:proofErr w:type="gramStart"/>
      <w:r w:rsidRPr="007F6824">
        <w:rPr>
          <w:rFonts w:ascii="Arial" w:hAnsi="Arial" w:cs="Arial"/>
          <w:sz w:val="20"/>
          <w:szCs w:val="20"/>
          <w:lang w:val="en-US"/>
        </w:rPr>
        <w:t>;G397R</w:t>
      </w:r>
      <w:proofErr w:type="gramEnd"/>
      <w:r w:rsidRPr="007F6824">
        <w:rPr>
          <w:rFonts w:ascii="Arial" w:hAnsi="Arial" w:cs="Arial"/>
          <w:sz w:val="20"/>
          <w:szCs w:val="20"/>
          <w:lang w:val="en-US"/>
        </w:rPr>
        <w:t xml:space="preserve"> was identified intra-operatively (VAF 0.85, SEM 0.15), in plasma sample 4 (VAF 1.6 (SEM 0.12), 7919 copies/ml (SEM 582)) and plasma sample 5 (VAF 2.1 (SEM 0.1). </w:t>
      </w:r>
      <w:r w:rsidRPr="007F6824">
        <w:rPr>
          <w:rFonts w:ascii="Arial" w:hAnsi="Arial" w:cs="Arial"/>
          <w:sz w:val="20"/>
          <w:szCs w:val="20"/>
        </w:rPr>
        <w:t>SEM = Standard error of mean</w:t>
      </w:r>
      <w:r>
        <w:rPr>
          <w:rFonts w:ascii="Arial" w:hAnsi="Arial" w:cs="Arial"/>
          <w:sz w:val="20"/>
          <w:szCs w:val="20"/>
        </w:rPr>
        <w:t>.</w:t>
      </w:r>
    </w:p>
    <w:sectPr w:rsidR="007F6824" w:rsidRPr="00510B3F" w:rsidSect="00F33721">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compat/>
  <w:rsids>
    <w:rsidRoot w:val="00510B3F"/>
    <w:rsid w:val="00047BA5"/>
    <w:rsid w:val="00122F67"/>
    <w:rsid w:val="001A5A38"/>
    <w:rsid w:val="00272BBB"/>
    <w:rsid w:val="00445FDA"/>
    <w:rsid w:val="004E20D3"/>
    <w:rsid w:val="00510B3F"/>
    <w:rsid w:val="005D7B60"/>
    <w:rsid w:val="007F6824"/>
    <w:rsid w:val="008255AD"/>
    <w:rsid w:val="00864076"/>
    <w:rsid w:val="008757AE"/>
    <w:rsid w:val="0093579C"/>
    <w:rsid w:val="00A169E3"/>
    <w:rsid w:val="00A16E8E"/>
    <w:rsid w:val="00B671F2"/>
    <w:rsid w:val="00C93BCE"/>
    <w:rsid w:val="00CD42C5"/>
    <w:rsid w:val="00D557F3"/>
    <w:rsid w:val="00DF267E"/>
    <w:rsid w:val="00E07C8E"/>
    <w:rsid w:val="00EB1D6E"/>
    <w:rsid w:val="00F33721"/>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3372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2F6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2F6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90806862">
      <w:bodyDiv w:val="1"/>
      <w:marLeft w:val="0"/>
      <w:marRight w:val="0"/>
      <w:marTop w:val="0"/>
      <w:marBottom w:val="0"/>
      <w:divBdr>
        <w:top w:val="none" w:sz="0" w:space="0" w:color="auto"/>
        <w:left w:val="none" w:sz="0" w:space="0" w:color="auto"/>
        <w:bottom w:val="none" w:sz="0" w:space="0" w:color="auto"/>
        <w:right w:val="none" w:sz="0" w:space="0" w:color="auto"/>
      </w:divBdr>
    </w:div>
    <w:div w:id="437722058">
      <w:bodyDiv w:val="1"/>
      <w:marLeft w:val="0"/>
      <w:marRight w:val="0"/>
      <w:marTop w:val="0"/>
      <w:marBottom w:val="0"/>
      <w:divBdr>
        <w:top w:val="none" w:sz="0" w:space="0" w:color="auto"/>
        <w:left w:val="none" w:sz="0" w:space="0" w:color="auto"/>
        <w:bottom w:val="none" w:sz="0" w:space="0" w:color="auto"/>
        <w:right w:val="none" w:sz="0" w:space="0" w:color="auto"/>
      </w:divBdr>
    </w:div>
    <w:div w:id="477302726">
      <w:bodyDiv w:val="1"/>
      <w:marLeft w:val="0"/>
      <w:marRight w:val="0"/>
      <w:marTop w:val="0"/>
      <w:marBottom w:val="0"/>
      <w:divBdr>
        <w:top w:val="none" w:sz="0" w:space="0" w:color="auto"/>
        <w:left w:val="none" w:sz="0" w:space="0" w:color="auto"/>
        <w:bottom w:val="none" w:sz="0" w:space="0" w:color="auto"/>
        <w:right w:val="none" w:sz="0" w:space="0" w:color="auto"/>
      </w:divBdr>
    </w:div>
    <w:div w:id="1359769167">
      <w:bodyDiv w:val="1"/>
      <w:marLeft w:val="0"/>
      <w:marRight w:val="0"/>
      <w:marTop w:val="0"/>
      <w:marBottom w:val="0"/>
      <w:divBdr>
        <w:top w:val="none" w:sz="0" w:space="0" w:color="auto"/>
        <w:left w:val="none" w:sz="0" w:space="0" w:color="auto"/>
        <w:bottom w:val="none" w:sz="0" w:space="0" w:color="auto"/>
        <w:right w:val="none" w:sz="0" w:space="0" w:color="auto"/>
      </w:divBdr>
    </w:div>
    <w:div w:id="1933666364">
      <w:bodyDiv w:val="1"/>
      <w:marLeft w:val="0"/>
      <w:marRight w:val="0"/>
      <w:marTop w:val="0"/>
      <w:marBottom w:val="0"/>
      <w:divBdr>
        <w:top w:val="none" w:sz="0" w:space="0" w:color="auto"/>
        <w:left w:val="none" w:sz="0" w:space="0" w:color="auto"/>
        <w:bottom w:val="none" w:sz="0" w:space="0" w:color="auto"/>
        <w:right w:val="none" w:sz="0" w:space="0" w:color="auto"/>
      </w:divBdr>
    </w:div>
    <w:div w:id="1945578685">
      <w:bodyDiv w:val="1"/>
      <w:marLeft w:val="0"/>
      <w:marRight w:val="0"/>
      <w:marTop w:val="0"/>
      <w:marBottom w:val="0"/>
      <w:divBdr>
        <w:top w:val="none" w:sz="0" w:space="0" w:color="auto"/>
        <w:left w:val="none" w:sz="0" w:space="0" w:color="auto"/>
        <w:bottom w:val="none" w:sz="0" w:space="0" w:color="auto"/>
        <w:right w:val="none" w:sz="0" w:space="0" w:color="auto"/>
      </w:divBdr>
    </w:div>
    <w:div w:id="1991135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tiff"/><Relationship Id="rId3" Type="http://schemas.openxmlformats.org/officeDocument/2006/relationships/webSettings" Target="webSettings.xml"/><Relationship Id="rId7" Type="http://schemas.openxmlformats.org/officeDocument/2006/relationships/image" Target="media/image4.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iff"/><Relationship Id="rId11" Type="http://schemas.openxmlformats.org/officeDocument/2006/relationships/theme" Target="theme/theme1.xml"/><Relationship Id="rId5" Type="http://schemas.openxmlformats.org/officeDocument/2006/relationships/image" Target="media/image2.tiff"/><Relationship Id="rId10" Type="http://schemas.openxmlformats.org/officeDocument/2006/relationships/fontTable" Target="fontTable.xml"/><Relationship Id="rId4" Type="http://schemas.openxmlformats.org/officeDocument/2006/relationships/image" Target="media/image1.tiff"/><Relationship Id="rId9" Type="http://schemas.openxmlformats.org/officeDocument/2006/relationships/image" Target="media/image6.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771</Words>
  <Characters>4396</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Eastley</dc:creator>
  <cp:lastModifiedBy>Nicholas Eastley</cp:lastModifiedBy>
  <cp:revision>2</cp:revision>
  <dcterms:created xsi:type="dcterms:W3CDTF">2020-06-23T10:06:00Z</dcterms:created>
  <dcterms:modified xsi:type="dcterms:W3CDTF">2020-06-23T10:06:00Z</dcterms:modified>
</cp:coreProperties>
</file>