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895" w:rsidRPr="00244895" w:rsidRDefault="00244895" w:rsidP="005B5A6C">
      <w:pPr>
        <w:spacing w:after="120" w:line="240" w:lineRule="auto"/>
        <w:jc w:val="both"/>
        <w:rPr>
          <w:rFonts w:ascii="Arial" w:hAnsi="Arial" w:cs="Arial"/>
          <w:bCs/>
        </w:rPr>
      </w:pPr>
      <w:r w:rsidRPr="00244895">
        <w:rPr>
          <w:rFonts w:ascii="Arial" w:hAnsi="Arial" w:cs="Arial"/>
          <w:bCs/>
        </w:rPr>
        <w:t>The circulating nucleic acid characteristics of Non-Metastatic Soft Tissue Sarcoma patients</w:t>
      </w:r>
    </w:p>
    <w:p w:rsidR="0091470D" w:rsidRPr="00244895" w:rsidRDefault="00931068" w:rsidP="005B5A6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44895">
        <w:rPr>
          <w:rFonts w:ascii="Arial" w:hAnsi="Arial" w:cs="Arial"/>
          <w:b/>
          <w:sz w:val="20"/>
          <w:szCs w:val="20"/>
        </w:rPr>
        <w:t>Supplementary Methods</w:t>
      </w:r>
      <w:r w:rsidR="00F9645C">
        <w:rPr>
          <w:rFonts w:ascii="Arial" w:hAnsi="Arial" w:cs="Arial"/>
          <w:b/>
          <w:sz w:val="20"/>
          <w:szCs w:val="20"/>
        </w:rPr>
        <w:t xml:space="preserve"> and Tables</w:t>
      </w:r>
    </w:p>
    <w:p w:rsidR="000C0D0B" w:rsidRPr="005B5A6C" w:rsidRDefault="004F6BE8" w:rsidP="005B5A6C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A4F0D">
        <w:rPr>
          <w:rFonts w:ascii="Arial" w:hAnsi="Arial" w:cs="Arial"/>
          <w:b/>
          <w:sz w:val="20"/>
          <w:szCs w:val="20"/>
        </w:rPr>
        <w:t>Whole Exome Sequencing (WES):</w:t>
      </w:r>
      <w:r w:rsidR="00D62052" w:rsidRPr="00DA4F0D">
        <w:rPr>
          <w:rFonts w:ascii="Arial" w:hAnsi="Arial" w:cs="Arial"/>
          <w:b/>
          <w:sz w:val="20"/>
          <w:szCs w:val="20"/>
        </w:rPr>
        <w:t xml:space="preserve"> </w:t>
      </w:r>
      <w:r w:rsidRPr="00DA4F0D">
        <w:rPr>
          <w:rFonts w:ascii="Arial" w:hAnsi="Arial" w:cs="Arial"/>
          <w:bCs/>
          <w:sz w:val="20"/>
          <w:szCs w:val="20"/>
        </w:rPr>
        <w:t xml:space="preserve">WES of high molecular weight </w:t>
      </w:r>
      <w:r w:rsidR="00D62052" w:rsidRPr="00DA4F0D">
        <w:rPr>
          <w:rFonts w:ascii="Arial" w:hAnsi="Arial" w:cs="Arial"/>
          <w:bCs/>
          <w:sz w:val="20"/>
          <w:szCs w:val="20"/>
        </w:rPr>
        <w:t xml:space="preserve">genomic </w:t>
      </w:r>
      <w:r w:rsidRPr="00DA4F0D">
        <w:rPr>
          <w:rFonts w:ascii="Arial" w:hAnsi="Arial" w:cs="Arial"/>
          <w:bCs/>
          <w:sz w:val="20"/>
          <w:szCs w:val="20"/>
        </w:rPr>
        <w:t>DNA (~1µg) from normal tissue (usually buffy coat cells) or STS tissue (&gt;</w:t>
      </w:r>
      <w:r w:rsidR="00F5175C" w:rsidRPr="00DA4F0D">
        <w:rPr>
          <w:rFonts w:ascii="Arial" w:hAnsi="Arial" w:cs="Arial"/>
          <w:bCs/>
          <w:sz w:val="20"/>
          <w:szCs w:val="20"/>
        </w:rPr>
        <w:t>50</w:t>
      </w:r>
      <w:r w:rsidRPr="00DA4F0D">
        <w:rPr>
          <w:rFonts w:ascii="Arial" w:hAnsi="Arial" w:cs="Arial"/>
          <w:bCs/>
          <w:sz w:val="20"/>
          <w:szCs w:val="20"/>
        </w:rPr>
        <w:t xml:space="preserve">% tumour cells) was conducted by </w:t>
      </w:r>
      <w:proofErr w:type="spellStart"/>
      <w:r w:rsidRPr="00DA4F0D">
        <w:rPr>
          <w:rFonts w:ascii="Arial" w:hAnsi="Arial" w:cs="Arial"/>
          <w:bCs/>
          <w:sz w:val="20"/>
          <w:szCs w:val="20"/>
        </w:rPr>
        <w:t>Novogene</w:t>
      </w:r>
      <w:proofErr w:type="spellEnd"/>
      <w:r w:rsidRPr="00DA4F0D">
        <w:rPr>
          <w:rFonts w:ascii="Arial" w:hAnsi="Arial" w:cs="Arial"/>
          <w:bCs/>
          <w:sz w:val="20"/>
          <w:szCs w:val="20"/>
        </w:rPr>
        <w:t xml:space="preserve"> Corporation. In brief this was achieved using the </w:t>
      </w:r>
      <w:proofErr w:type="spellStart"/>
      <w:r w:rsidR="00342775" w:rsidRPr="00DA4F0D">
        <w:rPr>
          <w:rFonts w:ascii="Arial" w:hAnsi="Arial" w:cs="Arial"/>
          <w:bCs/>
          <w:sz w:val="20"/>
          <w:szCs w:val="20"/>
        </w:rPr>
        <w:t>Sureselect</w:t>
      </w:r>
      <w:proofErr w:type="spellEnd"/>
      <w:r w:rsidR="00342775" w:rsidRPr="00DA4F0D">
        <w:rPr>
          <w:rFonts w:ascii="Arial" w:hAnsi="Arial" w:cs="Arial"/>
          <w:bCs/>
          <w:sz w:val="20"/>
          <w:szCs w:val="20"/>
        </w:rPr>
        <w:t xml:space="preserve"> Human All </w:t>
      </w:r>
      <w:proofErr w:type="spellStart"/>
      <w:r w:rsidR="00342775" w:rsidRPr="00DA4F0D">
        <w:rPr>
          <w:rFonts w:ascii="Arial" w:hAnsi="Arial" w:cs="Arial"/>
          <w:bCs/>
          <w:sz w:val="20"/>
          <w:szCs w:val="20"/>
        </w:rPr>
        <w:t>Exon</w:t>
      </w:r>
      <w:proofErr w:type="spellEnd"/>
      <w:r w:rsidR="00342775" w:rsidRPr="00DA4F0D">
        <w:rPr>
          <w:rFonts w:ascii="Arial" w:hAnsi="Arial" w:cs="Arial"/>
          <w:bCs/>
          <w:sz w:val="20"/>
          <w:szCs w:val="20"/>
        </w:rPr>
        <w:t xml:space="preserve"> V6 library preparation kit</w:t>
      </w:r>
      <w:r w:rsidR="0046536C">
        <w:rPr>
          <w:rFonts w:ascii="Arial" w:hAnsi="Arial" w:cs="Arial"/>
          <w:bCs/>
          <w:sz w:val="20"/>
          <w:szCs w:val="20"/>
        </w:rPr>
        <w:t xml:space="preserve"> </w:t>
      </w:r>
      <w:r w:rsidRPr="00DA4F0D">
        <w:rPr>
          <w:rFonts w:ascii="Arial" w:hAnsi="Arial" w:cs="Arial"/>
          <w:bCs/>
          <w:sz w:val="20"/>
          <w:szCs w:val="20"/>
        </w:rPr>
        <w:t xml:space="preserve">followed by </w:t>
      </w:r>
      <w:r w:rsidR="00342775" w:rsidRPr="00DA4F0D">
        <w:rPr>
          <w:rFonts w:ascii="Arial" w:hAnsi="Arial" w:cs="Arial"/>
          <w:bCs/>
          <w:sz w:val="20"/>
          <w:szCs w:val="20"/>
        </w:rPr>
        <w:t xml:space="preserve">library preparation and Illumina short-read sequencing (depth 50-100x) using a 150bp PE kit. </w:t>
      </w:r>
      <w:r w:rsidRPr="00DA4F0D">
        <w:rPr>
          <w:rFonts w:ascii="Arial" w:hAnsi="Arial" w:cs="Arial"/>
          <w:bCs/>
          <w:sz w:val="20"/>
          <w:szCs w:val="20"/>
        </w:rPr>
        <w:t xml:space="preserve">The </w:t>
      </w:r>
      <w:proofErr w:type="spellStart"/>
      <w:r w:rsidRPr="00DA4F0D">
        <w:rPr>
          <w:rFonts w:ascii="Arial" w:hAnsi="Arial" w:cs="Arial"/>
          <w:bCs/>
          <w:sz w:val="20"/>
          <w:szCs w:val="20"/>
        </w:rPr>
        <w:t>fastq</w:t>
      </w:r>
      <w:proofErr w:type="spellEnd"/>
      <w:r w:rsidRPr="00DA4F0D">
        <w:rPr>
          <w:rFonts w:ascii="Arial" w:hAnsi="Arial" w:cs="Arial"/>
          <w:bCs/>
          <w:sz w:val="20"/>
          <w:szCs w:val="20"/>
        </w:rPr>
        <w:t xml:space="preserve"> data files were processed using a standard bioinformatic pipeline (</w:t>
      </w:r>
      <w:r w:rsidR="00342775" w:rsidRPr="00DA4F0D">
        <w:rPr>
          <w:rFonts w:ascii="Arial" w:hAnsi="Arial" w:cs="Arial"/>
          <w:bCs/>
          <w:sz w:val="20"/>
          <w:szCs w:val="20"/>
        </w:rPr>
        <w:t>Broad Institute</w:t>
      </w:r>
      <w:r w:rsidRPr="00DA4F0D">
        <w:rPr>
          <w:rFonts w:ascii="Arial" w:hAnsi="Arial" w:cs="Arial"/>
          <w:bCs/>
          <w:sz w:val="20"/>
          <w:szCs w:val="20"/>
        </w:rPr>
        <w:t xml:space="preserve">) and somatic </w:t>
      </w:r>
      <w:r w:rsidR="00342775" w:rsidRPr="00DA4F0D">
        <w:rPr>
          <w:rFonts w:ascii="Arial" w:hAnsi="Arial" w:cs="Arial"/>
          <w:bCs/>
          <w:sz w:val="20"/>
          <w:szCs w:val="20"/>
        </w:rPr>
        <w:t xml:space="preserve">nucleotide </w:t>
      </w:r>
      <w:r w:rsidRPr="00DA4F0D">
        <w:rPr>
          <w:rFonts w:ascii="Arial" w:hAnsi="Arial" w:cs="Arial"/>
          <w:bCs/>
          <w:sz w:val="20"/>
          <w:szCs w:val="20"/>
        </w:rPr>
        <w:t>variant</w:t>
      </w:r>
      <w:r w:rsidR="00342775" w:rsidRPr="00DA4F0D">
        <w:rPr>
          <w:rFonts w:ascii="Arial" w:hAnsi="Arial" w:cs="Arial"/>
          <w:bCs/>
          <w:sz w:val="20"/>
          <w:szCs w:val="20"/>
        </w:rPr>
        <w:t>s</w:t>
      </w:r>
      <w:r w:rsidRPr="00DA4F0D">
        <w:rPr>
          <w:rFonts w:ascii="Arial" w:hAnsi="Arial" w:cs="Arial"/>
          <w:bCs/>
          <w:sz w:val="20"/>
          <w:szCs w:val="20"/>
        </w:rPr>
        <w:t xml:space="preserve"> </w:t>
      </w:r>
      <w:r w:rsidR="00342775" w:rsidRPr="00DA4F0D">
        <w:rPr>
          <w:rFonts w:ascii="Arial" w:hAnsi="Arial" w:cs="Arial"/>
          <w:bCs/>
          <w:sz w:val="20"/>
          <w:szCs w:val="20"/>
        </w:rPr>
        <w:t>(SNV) calling using  the bioinformatics tool somatic-sniper to compare STS samples with BC DNA from the same patient</w:t>
      </w:r>
      <w:r w:rsidR="000C0D0B" w:rsidRPr="00DA4F0D">
        <w:rPr>
          <w:rFonts w:ascii="Arial" w:hAnsi="Arial" w:cs="Arial"/>
          <w:bCs/>
          <w:sz w:val="20"/>
          <w:szCs w:val="20"/>
        </w:rPr>
        <w:t xml:space="preserve">. Annotation of Genetic Variants (ANNOVAR) was used for variant annotation. </w:t>
      </w:r>
      <w:r w:rsidR="00D063DA" w:rsidRPr="00DA4F0D">
        <w:rPr>
          <w:rFonts w:ascii="Arial" w:eastAsia="Calibri" w:hAnsi="Arial" w:cs="Arial"/>
          <w:sz w:val="20"/>
          <w:szCs w:val="20"/>
        </w:rPr>
        <w:t>SNVs previously associated with sarcomas or other cancers were selected</w:t>
      </w:r>
      <w:r w:rsidR="003B1387" w:rsidRPr="00DA4F0D">
        <w:rPr>
          <w:rFonts w:ascii="Arial" w:eastAsia="Calibri" w:hAnsi="Arial" w:cs="Arial"/>
          <w:sz w:val="20"/>
          <w:szCs w:val="20"/>
        </w:rPr>
        <w:t xml:space="preserve"> to track </w:t>
      </w:r>
      <w:r w:rsidR="00712106" w:rsidRPr="00DA4F0D">
        <w:rPr>
          <w:rFonts w:ascii="Arial" w:eastAsia="Calibri" w:hAnsi="Arial" w:cs="Arial"/>
          <w:sz w:val="20"/>
          <w:szCs w:val="20"/>
        </w:rPr>
        <w:t xml:space="preserve">in patient’s plasma </w:t>
      </w:r>
      <w:r w:rsidR="003B1387" w:rsidRPr="00DA4F0D">
        <w:rPr>
          <w:rFonts w:ascii="Arial" w:eastAsia="Calibri" w:hAnsi="Arial" w:cs="Arial"/>
          <w:sz w:val="20"/>
          <w:szCs w:val="20"/>
        </w:rPr>
        <w:t xml:space="preserve">using </w:t>
      </w:r>
      <w:proofErr w:type="spellStart"/>
      <w:r w:rsidR="00D063DA" w:rsidRPr="00DA4F0D">
        <w:rPr>
          <w:rFonts w:ascii="Arial" w:eastAsia="Calibri" w:hAnsi="Arial" w:cs="Arial"/>
          <w:sz w:val="20"/>
          <w:szCs w:val="20"/>
        </w:rPr>
        <w:t>tNGS</w:t>
      </w:r>
      <w:proofErr w:type="spellEnd"/>
      <w:r w:rsidR="00D063DA" w:rsidRPr="00DA4F0D">
        <w:rPr>
          <w:rFonts w:ascii="Arial" w:eastAsia="Calibri" w:hAnsi="Arial" w:cs="Arial"/>
          <w:sz w:val="20"/>
          <w:szCs w:val="20"/>
        </w:rPr>
        <w:t xml:space="preserve"> or </w:t>
      </w:r>
      <w:proofErr w:type="spellStart"/>
      <w:r w:rsidR="00D063DA" w:rsidRPr="00DA4F0D">
        <w:rPr>
          <w:rFonts w:ascii="Arial" w:hAnsi="Arial" w:cs="Arial"/>
          <w:sz w:val="20"/>
          <w:szCs w:val="20"/>
        </w:rPr>
        <w:t>ddPCR</w:t>
      </w:r>
      <w:proofErr w:type="spellEnd"/>
      <w:r w:rsidR="00D063DA" w:rsidRPr="00DA4F0D">
        <w:rPr>
          <w:rFonts w:ascii="Arial" w:hAnsi="Arial" w:cs="Arial"/>
          <w:sz w:val="20"/>
          <w:szCs w:val="20"/>
        </w:rPr>
        <w:t>.</w:t>
      </w:r>
    </w:p>
    <w:p w:rsidR="00931068" w:rsidRPr="00DA4F0D" w:rsidRDefault="00D063DA" w:rsidP="005B5A6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A4F0D">
        <w:rPr>
          <w:rFonts w:ascii="Arial" w:hAnsi="Arial" w:cs="Arial"/>
          <w:b/>
          <w:sz w:val="20"/>
          <w:szCs w:val="20"/>
        </w:rPr>
        <w:t xml:space="preserve">Single nucleotide variant </w:t>
      </w:r>
      <w:proofErr w:type="spellStart"/>
      <w:r w:rsidRPr="00DA4F0D">
        <w:rPr>
          <w:rFonts w:ascii="Arial" w:hAnsi="Arial" w:cs="Arial"/>
          <w:b/>
          <w:sz w:val="20"/>
          <w:szCs w:val="20"/>
        </w:rPr>
        <w:t>ddPCR</w:t>
      </w:r>
      <w:proofErr w:type="spellEnd"/>
      <w:r w:rsidRPr="00DA4F0D">
        <w:rPr>
          <w:rFonts w:ascii="Arial" w:hAnsi="Arial" w:cs="Arial"/>
          <w:b/>
          <w:sz w:val="20"/>
          <w:szCs w:val="20"/>
        </w:rPr>
        <w:t xml:space="preserve"> assay primer design: </w:t>
      </w:r>
      <w:r w:rsidRPr="00DA4F0D">
        <w:rPr>
          <w:rFonts w:ascii="Arial" w:hAnsi="Arial" w:cs="Arial"/>
          <w:sz w:val="20"/>
          <w:szCs w:val="20"/>
        </w:rPr>
        <w:t>To obtain the genomic sequences surrounding each target SNV the National Centre for Biotechnology Information (NCBI) map viewer tool was used (</w:t>
      </w:r>
      <w:hyperlink r:id="rId8" w:history="1">
        <w:r w:rsidR="00931068" w:rsidRPr="00DA4F0D">
          <w:rPr>
            <w:rFonts w:ascii="Arial" w:hAnsi="Arial" w:cs="Arial"/>
            <w:sz w:val="20"/>
            <w:szCs w:val="20"/>
          </w:rPr>
          <w:t>www.ncbi.nlm.nih.gov/mapview/</w:t>
        </w:r>
      </w:hyperlink>
      <w:r w:rsidR="00931068" w:rsidRPr="00DA4F0D">
        <w:rPr>
          <w:rFonts w:ascii="Arial" w:hAnsi="Arial" w:cs="Arial"/>
          <w:sz w:val="20"/>
          <w:szCs w:val="20"/>
        </w:rPr>
        <w:t>) with the hg19 assembly as a reference. Each region was checked for homology with other areas of the genome using the NCBI Blast tool (</w:t>
      </w:r>
      <w:hyperlink r:id="rId9" w:history="1">
        <w:r w:rsidR="00931068" w:rsidRPr="00DA4F0D">
          <w:rPr>
            <w:rFonts w:ascii="Arial" w:hAnsi="Arial" w:cs="Arial"/>
            <w:sz w:val="20"/>
            <w:szCs w:val="20"/>
          </w:rPr>
          <w:t>https://blast.ncbi.nlm.nih.gov/Blast.cgi</w:t>
        </w:r>
      </w:hyperlink>
      <w:r w:rsidR="00931068" w:rsidRPr="00DA4F0D">
        <w:rPr>
          <w:rFonts w:ascii="Arial" w:hAnsi="Arial" w:cs="Arial"/>
          <w:sz w:val="20"/>
          <w:szCs w:val="20"/>
        </w:rPr>
        <w:t>). Following this primers for each assay were designed using the Primer3 tool (</w:t>
      </w:r>
      <w:hyperlink r:id="rId10" w:history="1">
        <w:r w:rsidR="00931068" w:rsidRPr="00DA4F0D">
          <w:rPr>
            <w:rFonts w:ascii="Arial" w:hAnsi="Arial" w:cs="Arial"/>
            <w:sz w:val="20"/>
            <w:szCs w:val="20"/>
          </w:rPr>
          <w:t>http://primer3.ut.ee/</w:t>
        </w:r>
      </w:hyperlink>
      <w:r w:rsidR="00931068" w:rsidRPr="00DA4F0D">
        <w:rPr>
          <w:rFonts w:ascii="Arial" w:hAnsi="Arial" w:cs="Arial"/>
          <w:sz w:val="20"/>
          <w:szCs w:val="20"/>
        </w:rPr>
        <w:t>) with defined parameters including predicted annealing temperature (6</w:t>
      </w:r>
      <w:r w:rsidRPr="00DA4F0D">
        <w:rPr>
          <w:rFonts w:ascii="Arial" w:hAnsi="Arial" w:cs="Arial"/>
          <w:sz w:val="20"/>
          <w:szCs w:val="20"/>
        </w:rPr>
        <w:t>0-66</w:t>
      </w:r>
      <w:r w:rsidRPr="00DA4F0D">
        <w:rPr>
          <w:rFonts w:ascii="Arial" w:hAnsi="Arial" w:cs="Arial"/>
          <w:sz w:val="20"/>
          <w:szCs w:val="20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</w:rPr>
        <w:t>C), GC content (40-60%), product size (50-120) and difference in forward and reverse primer annealing temperature (&lt;2</w:t>
      </w:r>
      <w:r w:rsidRPr="00DA4F0D">
        <w:rPr>
          <w:rFonts w:ascii="Arial" w:hAnsi="Arial" w:cs="Arial"/>
          <w:sz w:val="20"/>
          <w:szCs w:val="20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</w:rPr>
        <w:t>C).  Potential primer pairs were analysed using the University of California, Santa Cruz’s (UCSC) genome browser’s in silico tool (</w:t>
      </w:r>
      <w:hyperlink r:id="rId11" w:history="1">
        <w:r w:rsidR="00931068" w:rsidRPr="00DA4F0D">
          <w:rPr>
            <w:rFonts w:ascii="Arial" w:hAnsi="Arial" w:cs="Arial"/>
            <w:sz w:val="20"/>
            <w:szCs w:val="20"/>
          </w:rPr>
          <w:t>http://genome.ucsc.edu/cgi-bin/hgPcr</w:t>
        </w:r>
      </w:hyperlink>
      <w:r w:rsidR="00931068" w:rsidRPr="00DA4F0D">
        <w:rPr>
          <w:rFonts w:ascii="Arial" w:hAnsi="Arial" w:cs="Arial"/>
          <w:sz w:val="20"/>
          <w:szCs w:val="20"/>
        </w:rPr>
        <w:t xml:space="preserve">) to confirm specificity, </w:t>
      </w:r>
      <w:r w:rsidR="00F807E3" w:rsidRPr="00DA4F0D">
        <w:rPr>
          <w:rFonts w:ascii="Arial" w:hAnsi="Arial" w:cs="Arial"/>
          <w:sz w:val="20"/>
          <w:szCs w:val="20"/>
        </w:rPr>
        <w:t xml:space="preserve">followed </w:t>
      </w:r>
      <w:r w:rsidR="00931068" w:rsidRPr="00DA4F0D">
        <w:rPr>
          <w:rFonts w:ascii="Arial" w:hAnsi="Arial" w:cs="Arial"/>
          <w:sz w:val="20"/>
          <w:szCs w:val="20"/>
        </w:rPr>
        <w:t xml:space="preserve">by the Integrated DNA Technologies </w:t>
      </w:r>
      <w:proofErr w:type="spellStart"/>
      <w:r w:rsidR="00931068" w:rsidRPr="00DA4F0D">
        <w:rPr>
          <w:rFonts w:ascii="Arial" w:hAnsi="Arial" w:cs="Arial"/>
          <w:sz w:val="20"/>
          <w:szCs w:val="20"/>
        </w:rPr>
        <w:t>Oligoanalyzer</w:t>
      </w:r>
      <w:proofErr w:type="spellEnd"/>
      <w:r w:rsidR="00931068" w:rsidRPr="00DA4F0D">
        <w:rPr>
          <w:rFonts w:ascii="Arial" w:hAnsi="Arial" w:cs="Arial"/>
          <w:sz w:val="20"/>
          <w:szCs w:val="20"/>
        </w:rPr>
        <w:t xml:space="preserve"> tool (</w:t>
      </w:r>
      <w:hyperlink r:id="rId12" w:history="1">
        <w:r w:rsidR="00931068" w:rsidRPr="00DA4F0D">
          <w:rPr>
            <w:rFonts w:ascii="Arial" w:hAnsi="Arial" w:cs="Arial"/>
            <w:sz w:val="20"/>
            <w:szCs w:val="20"/>
          </w:rPr>
          <w:t>www.idtdna.com/calc/analyzer</w:t>
        </w:r>
      </w:hyperlink>
      <w:r w:rsidR="00931068" w:rsidRPr="00DA4F0D">
        <w:rPr>
          <w:rFonts w:ascii="Arial" w:hAnsi="Arial" w:cs="Arial"/>
          <w:sz w:val="20"/>
          <w:szCs w:val="20"/>
        </w:rPr>
        <w:t>) to rule out unacceptable self-dimer or primer heterodimer risk.</w:t>
      </w:r>
    </w:p>
    <w:p w:rsidR="00931068" w:rsidRPr="00DA4F0D" w:rsidRDefault="00D063DA" w:rsidP="005B5A6C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DA4F0D">
        <w:rPr>
          <w:rFonts w:ascii="Arial" w:hAnsi="Arial" w:cs="Arial"/>
          <w:b/>
          <w:sz w:val="20"/>
          <w:szCs w:val="20"/>
        </w:rPr>
        <w:t xml:space="preserve">Single nucleotide variant </w:t>
      </w:r>
      <w:proofErr w:type="spellStart"/>
      <w:r w:rsidRPr="00DA4F0D">
        <w:rPr>
          <w:rFonts w:ascii="Arial" w:hAnsi="Arial" w:cs="Arial"/>
          <w:b/>
          <w:sz w:val="20"/>
          <w:szCs w:val="20"/>
        </w:rPr>
        <w:t>ddPCR</w:t>
      </w:r>
      <w:proofErr w:type="spellEnd"/>
      <w:r w:rsidRPr="00DA4F0D">
        <w:rPr>
          <w:rFonts w:ascii="Arial" w:hAnsi="Arial" w:cs="Arial"/>
          <w:b/>
          <w:sz w:val="20"/>
          <w:szCs w:val="20"/>
        </w:rPr>
        <w:t xml:space="preserve"> assay </w:t>
      </w:r>
      <w:proofErr w:type="spellStart"/>
      <w:r w:rsidRPr="00DA4F0D">
        <w:rPr>
          <w:rFonts w:ascii="Arial" w:eastAsia="Calibri" w:hAnsi="Arial" w:cs="Arial"/>
          <w:b/>
          <w:sz w:val="20"/>
          <w:szCs w:val="20"/>
        </w:rPr>
        <w:t>Taqman</w:t>
      </w:r>
      <w:proofErr w:type="spellEnd"/>
      <w:r w:rsidRPr="00DA4F0D">
        <w:rPr>
          <w:rFonts w:ascii="Arial" w:eastAsia="Calibri" w:hAnsi="Arial" w:cs="Arial"/>
          <w:b/>
          <w:sz w:val="20"/>
          <w:szCs w:val="20"/>
        </w:rPr>
        <w:t xml:space="preserve"> hydrolysis probe design: </w:t>
      </w:r>
      <w:r w:rsidRPr="00DA4F0D">
        <w:rPr>
          <w:rFonts w:ascii="Arial" w:eastAsia="Calibri" w:hAnsi="Arial" w:cs="Arial"/>
          <w:sz w:val="20"/>
          <w:szCs w:val="20"/>
        </w:rPr>
        <w:t>T</w:t>
      </w:r>
      <w:r w:rsidRPr="00DA4F0D">
        <w:rPr>
          <w:rFonts w:ascii="Arial" w:hAnsi="Arial" w:cs="Arial"/>
          <w:sz w:val="20"/>
          <w:szCs w:val="20"/>
        </w:rPr>
        <w:t xml:space="preserve">wo </w:t>
      </w:r>
      <w:proofErr w:type="spellStart"/>
      <w:r w:rsidRPr="00DA4F0D">
        <w:rPr>
          <w:rFonts w:ascii="Arial" w:hAnsi="Arial" w:cs="Arial"/>
          <w:sz w:val="20"/>
          <w:szCs w:val="20"/>
        </w:rPr>
        <w:t>Taqman</w:t>
      </w:r>
      <w:proofErr w:type="spellEnd"/>
      <w:r w:rsidRPr="00DA4F0D">
        <w:rPr>
          <w:rFonts w:ascii="Arial" w:hAnsi="Arial" w:cs="Arial"/>
          <w:sz w:val="20"/>
          <w:szCs w:val="20"/>
        </w:rPr>
        <w:t xml:space="preserve"> hydrolysis probes (</w:t>
      </w:r>
      <w:proofErr w:type="spellStart"/>
      <w:r w:rsidRPr="00DA4F0D">
        <w:rPr>
          <w:rFonts w:ascii="Arial" w:hAnsi="Arial" w:cs="Arial"/>
          <w:sz w:val="20"/>
          <w:szCs w:val="20"/>
        </w:rPr>
        <w:t>Eurogentec</w:t>
      </w:r>
      <w:proofErr w:type="spellEnd"/>
      <w:r w:rsidRPr="00DA4F0D">
        <w:rPr>
          <w:rFonts w:ascii="Arial" w:hAnsi="Arial" w:cs="Arial"/>
          <w:sz w:val="20"/>
          <w:szCs w:val="20"/>
        </w:rPr>
        <w:t xml:space="preserve">, </w:t>
      </w:r>
      <w:hyperlink r:id="rId13" w:history="1">
        <w:r w:rsidR="00931068" w:rsidRPr="00DA4F0D">
          <w:rPr>
            <w:rFonts w:ascii="Arial" w:hAnsi="Arial" w:cs="Arial"/>
            <w:sz w:val="20"/>
            <w:szCs w:val="20"/>
          </w:rPr>
          <w:t>Liège, Belgium</w:t>
        </w:r>
      </w:hyperlink>
      <w:r w:rsidR="00931068" w:rsidRPr="00DA4F0D">
        <w:rPr>
          <w:rFonts w:ascii="Arial" w:hAnsi="Arial" w:cs="Arial"/>
          <w:sz w:val="20"/>
          <w:szCs w:val="20"/>
        </w:rPr>
        <w:t xml:space="preserve">) were designed for each </w:t>
      </w:r>
      <w:proofErr w:type="spellStart"/>
      <w:r w:rsidR="00931068" w:rsidRPr="00DA4F0D">
        <w:rPr>
          <w:rFonts w:ascii="Arial" w:hAnsi="Arial" w:cs="Arial"/>
          <w:sz w:val="20"/>
          <w:szCs w:val="20"/>
        </w:rPr>
        <w:t>ddPCR</w:t>
      </w:r>
      <w:proofErr w:type="spellEnd"/>
      <w:r w:rsidR="00931068" w:rsidRPr="00DA4F0D">
        <w:rPr>
          <w:rFonts w:ascii="Arial" w:hAnsi="Arial" w:cs="Arial"/>
          <w:sz w:val="20"/>
          <w:szCs w:val="20"/>
        </w:rPr>
        <w:t xml:space="preserve"> assay - one complementary to the mutant genotype labelle</w:t>
      </w:r>
      <w:r w:rsidRPr="00DA4F0D">
        <w:rPr>
          <w:rFonts w:ascii="Arial" w:hAnsi="Arial" w:cs="Arial"/>
          <w:sz w:val="20"/>
          <w:szCs w:val="20"/>
        </w:rPr>
        <w:t>d with a FAM reporter, and another complementary to the wild type genotype labelled with a HEX reporter. Black hole quenchers were attached to both probes, with LNAs as required to optimise annealing temperatures. Probes were designed with a target annealing temperature of 70</w:t>
      </w:r>
      <w:r w:rsidRPr="00DA4F0D">
        <w:rPr>
          <w:rFonts w:ascii="Arial" w:hAnsi="Arial" w:cs="Arial"/>
          <w:sz w:val="20"/>
          <w:szCs w:val="20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</w:rPr>
        <w:t xml:space="preserve">C, and checked using the Integrated DNA Technologies </w:t>
      </w:r>
      <w:proofErr w:type="spellStart"/>
      <w:r w:rsidRPr="00DA4F0D">
        <w:rPr>
          <w:rFonts w:ascii="Arial" w:hAnsi="Arial" w:cs="Arial"/>
          <w:sz w:val="20"/>
          <w:szCs w:val="20"/>
        </w:rPr>
        <w:t>Oligoanalyzer</w:t>
      </w:r>
      <w:proofErr w:type="spellEnd"/>
      <w:r w:rsidRPr="00DA4F0D">
        <w:rPr>
          <w:rFonts w:ascii="Arial" w:hAnsi="Arial" w:cs="Arial"/>
          <w:sz w:val="20"/>
          <w:szCs w:val="20"/>
        </w:rPr>
        <w:t xml:space="preserve"> tool for unacceptable self-dimer or primer heterodimer risk. </w:t>
      </w:r>
    </w:p>
    <w:p w:rsidR="00931068" w:rsidRPr="00DA4F0D" w:rsidRDefault="00D063DA" w:rsidP="005B5A6C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proofErr w:type="spellStart"/>
      <w:r w:rsidRPr="00DA4F0D">
        <w:rPr>
          <w:rFonts w:ascii="Arial" w:eastAsia="Calibri" w:hAnsi="Arial" w:cs="Arial"/>
          <w:b/>
          <w:sz w:val="20"/>
          <w:szCs w:val="20"/>
        </w:rPr>
        <w:t>Evagreen</w:t>
      </w:r>
      <w:proofErr w:type="spellEnd"/>
      <w:r w:rsidRPr="00DA4F0D">
        <w:rPr>
          <w:rFonts w:ascii="Arial" w:eastAsia="Calibri" w:hAnsi="Arial" w:cs="Arial"/>
          <w:b/>
          <w:sz w:val="20"/>
          <w:szCs w:val="20"/>
        </w:rPr>
        <w:t xml:space="preserve"> droplet digital PCR: </w:t>
      </w:r>
      <w:proofErr w:type="spellStart"/>
      <w:r w:rsidRPr="00DA4F0D">
        <w:rPr>
          <w:rFonts w:ascii="Arial" w:eastAsia="Calibri" w:hAnsi="Arial" w:cs="Arial"/>
          <w:sz w:val="20"/>
          <w:szCs w:val="20"/>
        </w:rPr>
        <w:t>Evagreen</w:t>
      </w:r>
      <w:proofErr w:type="spellEnd"/>
      <w:r w:rsidRPr="00DA4F0D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DA4F0D">
        <w:rPr>
          <w:rFonts w:ascii="Arial" w:eastAsia="Calibri" w:hAnsi="Arial" w:cs="Arial"/>
          <w:sz w:val="20"/>
          <w:szCs w:val="20"/>
        </w:rPr>
        <w:t>ddPCR</w:t>
      </w:r>
      <w:proofErr w:type="spellEnd"/>
      <w:r w:rsidRPr="00DA4F0D">
        <w:rPr>
          <w:rFonts w:ascii="Arial" w:eastAsia="Calibri" w:hAnsi="Arial" w:cs="Arial"/>
          <w:sz w:val="20"/>
          <w:szCs w:val="20"/>
        </w:rPr>
        <w:t xml:space="preserve"> was performed</w:t>
      </w:r>
      <w:r w:rsidRPr="00DA4F0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using the QX200™ Droplet Digital™ PCR System as per the manufacturer’s instructions. This system consists of three instruments - the QX200 Droplet Generator, the C1000 Touch™ Thermal Cycler and the QX200 Droplet Reader. Twenty µl reaction mixes were made up with 2xQX200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ddPCR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EvaGreen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Supermix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, Forward and Reverse primers (final concentration 250nm) and 5ng of human genomic DNA. This reaction was then mixed with 70µl of QX200 droplet generation oil for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Evagreen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using DG8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TM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gaskets and cartridges, before being partitioned by the process of droplet generation using the QX200 Droplet Generator. Droplets were immediately loaded onto a 96 well plate which was sealed with a foil lid by heating to 180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C for 5 seconds using a PX1 PCR plate sealer. Plates were loaded onto a C1000 Touch™ Thermal Cycler where amplification was performed with the temperature ramping rate set to 2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C/second. Cycling conditions were 1) 95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C for 5 mins 2) 40 cycles of 30 seconds at 95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C and </w:t>
      </w:r>
      <w:r w:rsidR="0046536C">
        <w:rPr>
          <w:rFonts w:ascii="Arial" w:hAnsi="Arial" w:cs="Arial"/>
          <w:sz w:val="20"/>
          <w:szCs w:val="20"/>
          <w:shd w:val="clear" w:color="auto" w:fill="FFFFFF"/>
        </w:rPr>
        <w:t xml:space="preserve">1 min at 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60</w:t>
      </w:r>
      <w:r w:rsidR="0046536C" w:rsidRPr="0046536C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 xml:space="preserve"> </w:t>
      </w:r>
      <w:proofErr w:type="spellStart"/>
      <w:r w:rsidR="0046536C"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="0046536C" w:rsidRPr="00DA4F0D">
        <w:rPr>
          <w:rFonts w:ascii="Arial" w:hAnsi="Arial" w:cs="Arial"/>
          <w:sz w:val="20"/>
          <w:szCs w:val="20"/>
          <w:shd w:val="clear" w:color="auto" w:fill="FFFFFF"/>
        </w:rPr>
        <w:t>C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3) 5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mins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at 4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C and 4) 5 mins at 90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C. Following amplification, reaction plates were loaded onto a QX200 Droplet Reader to be counted by an optical detection system. Finally raw data was uploaded into the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Quantasoft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TM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1.7.4 software package (Bio</w:t>
      </w:r>
      <w:r w:rsidRPr="00DA4F0D">
        <w:rPr>
          <w:rFonts w:ascii="Cambria Math" w:hAnsi="Cambria Math" w:cs="Cambria Math"/>
          <w:sz w:val="20"/>
          <w:szCs w:val="20"/>
          <w:shd w:val="clear" w:color="auto" w:fill="FFFFFF"/>
        </w:rPr>
        <w:t>‐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Rad, CA) for analysis.</w:t>
      </w:r>
    </w:p>
    <w:p w:rsidR="00931068" w:rsidRPr="009D02A3" w:rsidRDefault="00D063DA" w:rsidP="005B5A6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A4F0D">
        <w:rPr>
          <w:rFonts w:ascii="Arial" w:hAnsi="Arial" w:cs="Arial"/>
          <w:b/>
          <w:sz w:val="20"/>
          <w:szCs w:val="20"/>
        </w:rPr>
        <w:t xml:space="preserve">Single Nucleotide Variant </w:t>
      </w:r>
      <w:proofErr w:type="spellStart"/>
      <w:r w:rsidRPr="00DA4F0D">
        <w:rPr>
          <w:rFonts w:ascii="Arial" w:hAnsi="Arial" w:cs="Arial"/>
          <w:b/>
          <w:sz w:val="20"/>
          <w:szCs w:val="20"/>
        </w:rPr>
        <w:t>ddPCR</w:t>
      </w:r>
      <w:proofErr w:type="spellEnd"/>
      <w:r w:rsidRPr="00DA4F0D">
        <w:rPr>
          <w:rFonts w:ascii="Arial" w:hAnsi="Arial" w:cs="Arial"/>
          <w:b/>
          <w:sz w:val="20"/>
          <w:szCs w:val="20"/>
        </w:rPr>
        <w:t xml:space="preserve"> reaction conditions: </w:t>
      </w:r>
      <w:r w:rsidRPr="00DA4F0D">
        <w:rPr>
          <w:rFonts w:ascii="Arial" w:hAnsi="Arial" w:cs="Arial"/>
          <w:sz w:val="20"/>
          <w:szCs w:val="20"/>
        </w:rPr>
        <w:t>Rare event detection</w:t>
      </w:r>
      <w:r w:rsidRPr="00DA4F0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ddPCR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using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Taqman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hydrolysis probes was performed using the QX200™ Droplet Digital™ PCR System as per the manufacturer’s instructions. Twenty </w:t>
      </w:r>
      <w:r w:rsidRPr="00DA4F0D">
        <w:rPr>
          <w:rFonts w:ascii="Arial" w:hAnsi="Arial" w:cs="Arial"/>
          <w:sz w:val="20"/>
          <w:szCs w:val="20"/>
        </w:rPr>
        <w:t>µl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ddPCR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reaction mixes were made up with 2x </w:t>
      </w:r>
      <w:proofErr w:type="spellStart"/>
      <w:r w:rsidRPr="00DA4F0D">
        <w:rPr>
          <w:rFonts w:ascii="Arial" w:hAnsi="Arial" w:cs="Arial"/>
          <w:sz w:val="20"/>
          <w:szCs w:val="20"/>
        </w:rPr>
        <w:t>ddPCR</w:t>
      </w:r>
      <w:proofErr w:type="spellEnd"/>
      <w:r w:rsidRPr="00DA4F0D">
        <w:rPr>
          <w:rFonts w:ascii="Arial" w:hAnsi="Arial" w:cs="Arial"/>
          <w:sz w:val="20"/>
          <w:szCs w:val="20"/>
        </w:rPr>
        <w:t xml:space="preserve">™ </w:t>
      </w:r>
      <w:proofErr w:type="spellStart"/>
      <w:r w:rsidRPr="00DA4F0D">
        <w:rPr>
          <w:rFonts w:ascii="Arial" w:hAnsi="Arial" w:cs="Arial"/>
          <w:sz w:val="20"/>
          <w:szCs w:val="20"/>
        </w:rPr>
        <w:t>Supermix</w:t>
      </w:r>
      <w:proofErr w:type="spellEnd"/>
      <w:r w:rsidRPr="00DA4F0D">
        <w:rPr>
          <w:rFonts w:ascii="Arial" w:hAnsi="Arial" w:cs="Arial"/>
          <w:sz w:val="20"/>
          <w:szCs w:val="20"/>
        </w:rPr>
        <w:t xml:space="preserve"> for Probes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, Forward and Reverse primers (final concentration 900nM each), mutant/wildtype probes (final concentration 250nM each) and 5ng of template DNA.  Reactions were mixed with 70µl of droplet reader oil and partitioned using a QX200 Droplet Generator before being loaded onto a PCR plate and foil sealed. Reactions were processed on a C1000 Touch™ Thermal Cycler with a temperature ramping rate 2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C/second. The cycling conditions used for amplification were 1) 95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C for 10 mins 2) 40 cycles of 30 secs at 94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>C and 60 secs at each assay’s optimum annealing temperature and 3) 98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o</w:t>
      </w:r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C for 10mins. After amplification droplets were immediately analysed using a QX200 Droplet Reader where the number of empty, mutant and wildtype positive droplets were counted. Raw data was analysed using the </w:t>
      </w:r>
      <w:proofErr w:type="spellStart"/>
      <w:r w:rsidRPr="00DA4F0D">
        <w:rPr>
          <w:rFonts w:ascii="Arial" w:hAnsi="Arial" w:cs="Arial"/>
          <w:sz w:val="20"/>
          <w:szCs w:val="20"/>
          <w:shd w:val="clear" w:color="auto" w:fill="FFFFFF"/>
        </w:rPr>
        <w:t>Quantasoft</w:t>
      </w:r>
      <w:r w:rsidRPr="00DA4F0D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TM</w:t>
      </w:r>
      <w:proofErr w:type="spellEnd"/>
      <w:r w:rsidRPr="00DA4F0D">
        <w:rPr>
          <w:rFonts w:ascii="Arial" w:hAnsi="Arial" w:cs="Arial"/>
          <w:sz w:val="20"/>
          <w:szCs w:val="20"/>
          <w:shd w:val="clear" w:color="auto" w:fill="FFFFFF"/>
        </w:rPr>
        <w:t xml:space="preserve"> software package, where </w:t>
      </w:r>
      <w:r w:rsidRPr="009D02A3">
        <w:rPr>
          <w:rFonts w:ascii="Arial" w:hAnsi="Arial" w:cs="Arial"/>
          <w:sz w:val="20"/>
          <w:szCs w:val="20"/>
          <w:shd w:val="clear" w:color="auto" w:fill="FFFFFF"/>
        </w:rPr>
        <w:t xml:space="preserve">droplets thresholds were set in 2D prior to final data interpretation. </w:t>
      </w:r>
    </w:p>
    <w:p w:rsidR="006C6DBE" w:rsidRDefault="006C6DBE" w:rsidP="005B5A6C">
      <w:pPr>
        <w:spacing w:after="200" w:line="276" w:lineRule="auto"/>
        <w:jc w:val="both"/>
        <w:rPr>
          <w:rFonts w:ascii="Arial" w:hAnsi="Arial" w:cs="Arial"/>
          <w:sz w:val="20"/>
          <w:szCs w:val="20"/>
        </w:rPr>
        <w:sectPr w:rsidR="006C6DBE" w:rsidSect="005054FA">
          <w:footerReference w:type="even" r:id="rId14"/>
          <w:footerReference w:type="default" r:id="rId15"/>
          <w:pgSz w:w="11906" w:h="16838"/>
          <w:pgMar w:top="1361" w:right="1440" w:bottom="1361" w:left="1440" w:header="709" w:footer="709" w:gutter="0"/>
          <w:cols w:space="708"/>
          <w:docGrid w:linePitch="360"/>
        </w:sectPr>
      </w:pPr>
    </w:p>
    <w:tbl>
      <w:tblPr>
        <w:tblStyle w:val="TableGrid1"/>
        <w:tblpPr w:leftFromText="181" w:rightFromText="181" w:horzAnchor="margin" w:tblpYSpec="top"/>
        <w:tblW w:w="13745" w:type="dxa"/>
        <w:tblLayout w:type="fixed"/>
        <w:tblLook w:val="04A0"/>
      </w:tblPr>
      <w:tblGrid>
        <w:gridCol w:w="846"/>
        <w:gridCol w:w="850"/>
        <w:gridCol w:w="2007"/>
        <w:gridCol w:w="1791"/>
        <w:gridCol w:w="894"/>
        <w:gridCol w:w="894"/>
        <w:gridCol w:w="894"/>
        <w:gridCol w:w="1151"/>
        <w:gridCol w:w="1158"/>
        <w:gridCol w:w="1276"/>
        <w:gridCol w:w="992"/>
        <w:gridCol w:w="992"/>
      </w:tblGrid>
      <w:tr w:rsidR="006C6DBE" w:rsidRPr="00DA4F0D" w:rsidTr="007C2A01">
        <w:trPr>
          <w:trHeight w:val="340"/>
        </w:trPr>
        <w:tc>
          <w:tcPr>
            <w:tcW w:w="13745" w:type="dxa"/>
            <w:gridSpan w:val="12"/>
            <w:shd w:val="clear" w:color="auto" w:fill="auto"/>
            <w:vAlign w:val="center"/>
          </w:tcPr>
          <w:p w:rsidR="006C6DBE" w:rsidRPr="00DA4F0D" w:rsidRDefault="006C6DBE" w:rsidP="00832B9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b/>
                <w:sz w:val="20"/>
                <w:szCs w:val="20"/>
              </w:rPr>
              <w:t xml:space="preserve">Table 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832B9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A4F0D">
              <w:rPr>
                <w:rFonts w:ascii="Arial" w:hAnsi="Arial" w:cs="Arial"/>
                <w:b/>
                <w:sz w:val="20"/>
                <w:szCs w:val="20"/>
              </w:rPr>
              <w:t>: Clinical outcome and circulating nucleic acid characteristics of STS patients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Age (yrs) / Gender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STS Subtype</w:t>
            </w:r>
          </w:p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(+</w:t>
            </w:r>
            <w:proofErr w:type="spellStart"/>
            <w:r w:rsidRPr="00DA4F0D">
              <w:rPr>
                <w:rFonts w:ascii="Arial" w:hAnsi="Arial" w:cs="Arial"/>
                <w:sz w:val="18"/>
                <w:szCs w:val="18"/>
              </w:rPr>
              <w:t>Trojani</w:t>
            </w:r>
            <w:proofErr w:type="spellEnd"/>
            <w:r w:rsidRPr="00DA4F0D">
              <w:rPr>
                <w:rFonts w:ascii="Arial" w:hAnsi="Arial" w:cs="Arial"/>
                <w:sz w:val="18"/>
                <w:szCs w:val="18"/>
              </w:rPr>
              <w:t xml:space="preserve"> tumour Grade)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Surgical resection margins</w:t>
            </w:r>
          </w:p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(Marginal / Wide)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Follow up - months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 xml:space="preserve">Intra-op. </w:t>
            </w:r>
            <w:proofErr w:type="spellStart"/>
            <w:r w:rsidRPr="00DA4F0D">
              <w:rPr>
                <w:rFonts w:ascii="Arial" w:hAnsi="Arial" w:cs="Arial"/>
                <w:sz w:val="18"/>
                <w:szCs w:val="18"/>
              </w:rPr>
              <w:t>cfDNA</w:t>
            </w:r>
            <w:proofErr w:type="spellEnd"/>
            <w:r w:rsidRPr="00DA4F0D">
              <w:rPr>
                <w:rFonts w:ascii="Arial" w:hAnsi="Arial" w:cs="Arial"/>
                <w:sz w:val="18"/>
                <w:szCs w:val="18"/>
              </w:rPr>
              <w:t xml:space="preserve"> level (</w:t>
            </w:r>
            <w:proofErr w:type="spellStart"/>
            <w:r w:rsidRPr="00DA4F0D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DA4F0D">
              <w:rPr>
                <w:rFonts w:ascii="Arial" w:hAnsi="Arial" w:cs="Arial"/>
                <w:sz w:val="18"/>
                <w:szCs w:val="18"/>
              </w:rPr>
              <w:t>/ml)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 xml:space="preserve">First post-op. </w:t>
            </w:r>
            <w:proofErr w:type="spellStart"/>
            <w:r w:rsidRPr="00DA4F0D">
              <w:rPr>
                <w:rFonts w:ascii="Arial" w:hAnsi="Arial" w:cs="Arial"/>
                <w:sz w:val="18"/>
                <w:szCs w:val="18"/>
              </w:rPr>
              <w:t>cfDNA</w:t>
            </w:r>
            <w:proofErr w:type="spellEnd"/>
            <w:r w:rsidRPr="00DA4F0D">
              <w:rPr>
                <w:rFonts w:ascii="Arial" w:hAnsi="Arial" w:cs="Arial"/>
                <w:sz w:val="18"/>
                <w:szCs w:val="18"/>
              </w:rPr>
              <w:t xml:space="preserve"> level (</w:t>
            </w:r>
            <w:proofErr w:type="spellStart"/>
            <w:r w:rsidRPr="00DA4F0D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DA4F0D">
              <w:rPr>
                <w:rFonts w:ascii="Arial" w:hAnsi="Arial" w:cs="Arial"/>
                <w:sz w:val="18"/>
                <w:szCs w:val="18"/>
              </w:rPr>
              <w:t>/ml)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STS recurrence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A4F0D">
              <w:rPr>
                <w:rFonts w:ascii="Arial" w:hAnsi="Arial" w:cs="Arial"/>
                <w:sz w:val="18"/>
                <w:szCs w:val="18"/>
              </w:rPr>
              <w:t>cfDNA</w:t>
            </w:r>
            <w:proofErr w:type="spellEnd"/>
            <w:r w:rsidRPr="00DA4F0D">
              <w:rPr>
                <w:rFonts w:ascii="Arial" w:hAnsi="Arial" w:cs="Arial"/>
                <w:sz w:val="18"/>
                <w:szCs w:val="18"/>
              </w:rPr>
              <w:t xml:space="preserve"> level at recurrence (ng/ml)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Oncological outcome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Disease free survival (months)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Overall survival (months)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76.1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Myxofibrosarcoma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Marginal (planned)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5.5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6.5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AWD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63.1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A4F0D">
              <w:rPr>
                <w:rFonts w:ascii="Arial" w:hAnsi="Arial" w:cs="Arial"/>
                <w:sz w:val="16"/>
                <w:szCs w:val="16"/>
              </w:rPr>
              <w:t>Extraskeletal</w:t>
            </w:r>
            <w:proofErr w:type="spellEnd"/>
            <w:r w:rsidRPr="00DA4F0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A4F0D">
              <w:rPr>
                <w:rFonts w:ascii="Arial" w:hAnsi="Arial" w:cs="Arial"/>
                <w:sz w:val="16"/>
                <w:szCs w:val="16"/>
              </w:rPr>
              <w:t>Myxoid</w:t>
            </w:r>
            <w:proofErr w:type="spellEnd"/>
            <w:r w:rsidRPr="00DA4F0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A4F0D">
              <w:rPr>
                <w:rFonts w:ascii="Arial" w:hAnsi="Arial" w:cs="Arial"/>
                <w:sz w:val="16"/>
                <w:szCs w:val="16"/>
              </w:rPr>
              <w:t>Chondrosarcoma</w:t>
            </w:r>
            <w:proofErr w:type="spellEnd"/>
            <w:r w:rsidRPr="00DA4F0D">
              <w:rPr>
                <w:rFonts w:ascii="Arial" w:hAnsi="Arial" w:cs="Arial"/>
                <w:sz w:val="16"/>
                <w:szCs w:val="16"/>
              </w:rPr>
              <w:t xml:space="preserve"> (unknown)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Marginal (planned)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30.1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7.8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55.3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Undifferentiated Pleomorphic 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st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: Marginal (unplanned) 2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nd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3.5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AWD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9.5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62.3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Leiomyosarcoma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 xml:space="preserve">Marginal </w:t>
            </w:r>
          </w:p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(planned)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13.8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3.2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3.2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AWD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59.7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Synovial 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28.9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27.6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Myxofibrosarcoma (1)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15.8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7.3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80.0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A4F0D">
              <w:rPr>
                <w:rFonts w:ascii="Arial" w:hAnsi="Arial" w:cs="Arial"/>
                <w:sz w:val="16"/>
                <w:szCs w:val="16"/>
              </w:rPr>
              <w:t>Haemangiosarcoma</w:t>
            </w:r>
            <w:proofErr w:type="spellEnd"/>
            <w:r w:rsidRPr="00DA4F0D">
              <w:rPr>
                <w:rFonts w:ascii="Arial" w:hAnsi="Arial" w:cs="Arial"/>
                <w:sz w:val="16"/>
                <w:szCs w:val="16"/>
              </w:rPr>
              <w:t xml:space="preserve"> (unknown)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7.5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AWD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3.3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76.5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Myxoid Liposarcoma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18.9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13.3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9.3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65.4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Undifferentiated Pleomorphic 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12.6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9.25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AWD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12.6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53.2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Undifferentiated Pleomorphic 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6.3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 xml:space="preserve">68.9 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Myxofibrosarcoma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Marginal (unplanned)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6.9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4.0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7.75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DOD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6.9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36.7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Undifferentiated Pleomorphic 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11.8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unknown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Lost to FU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62.8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Dedifferentiated Liposarcoma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15.1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4.0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67.0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Undifferentiated Pleomorphic 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11.2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16.1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10.9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70.6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Myxofibrosarcoma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st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: Marginal (unplanned) 2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nd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13.3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5.5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5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74.0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Leiomyosarcoma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Marginal (planned)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4.8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22.2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Soft Tissue Ewing’s 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14.5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Unknown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Lost to FU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45.8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Undifferentiated Pleomorphic 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Marginal (planned)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4.6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5.8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16.75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DOD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4.6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5.3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64.0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Myxofibrosarcoma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st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/2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nd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: Marginal (unplanned) 3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rd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: 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10.2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9.5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79.7 /M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Leiomyosarcoma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7.6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27.5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10.8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Metastatic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AWD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7.6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69.0 /M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Undifferentiated pleomorphic 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st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:Marginal (unplanned) 2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nd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8.8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15.3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Local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87.2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Myxofibrosarcoma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tabs>
                <w:tab w:val="left" w:pos="804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74.2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Dedifferentiated liposarcoma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4.9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35.25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74.4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 xml:space="preserve">Myxofibrosarcoma 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6.5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7.8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48.7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Leiomyosarcoma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8.6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7.6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70.3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Myxofibrosarcoma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st</w:t>
            </w: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:Marginal (unplanned)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3.8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81.2 / F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Myxofibrosarcoma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14.3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19.7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77.0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Myxofibrosarcoma (2)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43.6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C6DBE" w:rsidRPr="00DA4F0D" w:rsidTr="007C2A01">
        <w:trPr>
          <w:trHeight w:val="211"/>
        </w:trPr>
        <w:tc>
          <w:tcPr>
            <w:tcW w:w="84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74.0 / M</w:t>
            </w:r>
          </w:p>
        </w:tc>
        <w:tc>
          <w:tcPr>
            <w:tcW w:w="200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color w:val="000000"/>
                <w:sz w:val="16"/>
                <w:szCs w:val="16"/>
              </w:rPr>
              <w:t>Leiomyosarcoma (3)</w:t>
            </w:r>
          </w:p>
        </w:tc>
        <w:tc>
          <w:tcPr>
            <w:tcW w:w="179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Wide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2.8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 xml:space="preserve">4.05 </w:t>
            </w:r>
          </w:p>
        </w:tc>
        <w:tc>
          <w:tcPr>
            <w:tcW w:w="894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Not available</w:t>
            </w:r>
          </w:p>
        </w:tc>
        <w:tc>
          <w:tcPr>
            <w:tcW w:w="1151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5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276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NED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A4F0D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</w:tbl>
    <w:p w:rsidR="006C6DBE" w:rsidRDefault="006C6DBE" w:rsidP="006C6DBE">
      <w:pPr>
        <w:spacing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Cs/>
          <w:sz w:val="18"/>
          <w:szCs w:val="18"/>
        </w:rPr>
        <w:t xml:space="preserve">* </w:t>
      </w:r>
      <w:r w:rsidRPr="00244895">
        <w:rPr>
          <w:rFonts w:ascii="Arial" w:hAnsi="Arial" w:cs="Arial"/>
          <w:bCs/>
          <w:sz w:val="18"/>
          <w:szCs w:val="18"/>
        </w:rPr>
        <w:t xml:space="preserve">AWD-alive with disease; DOD-died from disease; NED-no evidence of disease. </w:t>
      </w:r>
    </w:p>
    <w:p w:rsidR="006C6DBE" w:rsidRDefault="006C6DBE" w:rsidP="006C6DBE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proofErr w:type="gramStart"/>
      <w:r>
        <w:rPr>
          <w:rFonts w:ascii="Arial" w:hAnsi="Arial" w:cs="Arial"/>
          <w:sz w:val="18"/>
          <w:szCs w:val="18"/>
        </w:rPr>
        <w:t xml:space="preserve">*  </w:t>
      </w:r>
      <w:r w:rsidRPr="00DA4F0D">
        <w:rPr>
          <w:rFonts w:ascii="Arial" w:hAnsi="Arial" w:cs="Arial"/>
          <w:sz w:val="18"/>
          <w:szCs w:val="18"/>
        </w:rPr>
        <w:t>Patient</w:t>
      </w:r>
      <w:proofErr w:type="gramEnd"/>
      <w:r w:rsidRPr="00DA4F0D">
        <w:rPr>
          <w:rFonts w:ascii="Arial" w:hAnsi="Arial" w:cs="Arial"/>
          <w:sz w:val="18"/>
          <w:szCs w:val="18"/>
        </w:rPr>
        <w:t xml:space="preserve"> 30 was lost to follow up precluding any comment on recurrence. </w:t>
      </w:r>
    </w:p>
    <w:p w:rsidR="006C6DBE" w:rsidRDefault="006C6DBE" w:rsidP="006C6DBE">
      <w:pPr>
        <w:spacing w:after="200" w:line="276" w:lineRule="auto"/>
        <w:jc w:val="both"/>
        <w:rPr>
          <w:rFonts w:ascii="Arial" w:hAnsi="Arial" w:cs="Arial"/>
          <w:bCs/>
          <w:sz w:val="18"/>
          <w:szCs w:val="18"/>
        </w:rPr>
        <w:sectPr w:rsidR="006C6DBE" w:rsidSect="005054FA">
          <w:pgSz w:w="16838" w:h="11906" w:orient="landscape"/>
          <w:pgMar w:top="1440" w:right="1361" w:bottom="1440" w:left="1361" w:header="708" w:footer="708" w:gutter="0"/>
          <w:cols w:space="708"/>
          <w:docGrid w:linePitch="360"/>
        </w:sectPr>
      </w:pPr>
    </w:p>
    <w:tbl>
      <w:tblPr>
        <w:tblW w:w="4793" w:type="pct"/>
        <w:tblLook w:val="04A0"/>
      </w:tblPr>
      <w:tblGrid>
        <w:gridCol w:w="1543"/>
        <w:gridCol w:w="2215"/>
        <w:gridCol w:w="2135"/>
        <w:gridCol w:w="1075"/>
        <w:gridCol w:w="1891"/>
      </w:tblGrid>
      <w:tr w:rsidR="006C6DBE" w:rsidRPr="00DA4F0D" w:rsidTr="007C2A01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DBE" w:rsidRPr="00DA4F0D" w:rsidRDefault="006C6DBE" w:rsidP="00832B9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4F0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Table 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832B9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A4F0D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proofErr w:type="spellStart"/>
            <w:r w:rsidRPr="00DA4F0D">
              <w:rPr>
                <w:rFonts w:ascii="Arial" w:hAnsi="Arial" w:cs="Arial"/>
                <w:b/>
                <w:sz w:val="20"/>
                <w:szCs w:val="20"/>
              </w:rPr>
              <w:t>IonTorrent</w:t>
            </w:r>
            <w:proofErr w:type="spellEnd"/>
            <w:r w:rsidRPr="00DA4F0D">
              <w:rPr>
                <w:rFonts w:ascii="Arial" w:hAnsi="Arial" w:cs="Arial"/>
                <w:b/>
                <w:sz w:val="20"/>
                <w:szCs w:val="20"/>
              </w:rPr>
              <w:t xml:space="preserve"> SNV panel 2 (Sarcoma 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DA4F0D">
              <w:rPr>
                <w:rFonts w:ascii="Arial" w:hAnsi="Arial" w:cs="Arial"/>
                <w:b/>
                <w:sz w:val="20"/>
                <w:szCs w:val="20"/>
              </w:rPr>
              <w:t>2)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Chromosome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Amplicon start point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Amplicon end point 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Gene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Amplicon length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48919221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48919308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48939092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48939157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48947517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48947590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48951086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48951167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48953783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48953872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48954207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48954290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83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48955352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48955425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73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48955511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48955594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49027103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49027187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49033840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49033932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49037891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49037961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49039366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49039457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49050932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49051028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RB1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7573994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7574075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7576835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7576924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7577080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7577173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7577513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7577609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7578142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7578234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7578315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7578409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7578442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7578529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7579287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7579381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TP53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76778869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76778949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76814193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76814274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76849175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76849253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76855935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76856021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76872157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76872240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83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76874193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76874277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84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76875851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76875931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76888710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76888791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76889082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76889163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76890067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76890151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76890189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76890273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84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76909580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76909666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76931688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76931780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76937042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76937125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76937388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76937469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76937703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76937790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76937912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76938004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</w:rPr>
              <w:t>92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76938321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76938389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76938532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76938606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76938655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76938734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76939405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76939493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76939541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76939628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76939886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76939970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</w:tr>
      <w:tr w:rsidR="006C6DBE" w:rsidRPr="00DA4F0D" w:rsidTr="007C2A01">
        <w:trPr>
          <w:trHeight w:val="227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chrX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76952077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76952162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ATRX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</w:t>
            </w:r>
          </w:p>
        </w:tc>
      </w:tr>
    </w:tbl>
    <w:p w:rsidR="006C6DBE" w:rsidRPr="00DA4F0D" w:rsidRDefault="006C6DBE" w:rsidP="006C6DBE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:rsidR="006C6DBE" w:rsidRPr="00DA4F0D" w:rsidRDefault="006C6DBE" w:rsidP="006C6DBE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A4F0D">
        <w:rPr>
          <w:rFonts w:ascii="Arial" w:hAnsi="Arial" w:cs="Arial"/>
          <w:sz w:val="18"/>
          <w:szCs w:val="18"/>
        </w:rPr>
        <w:t xml:space="preserve">Amplicons that were excluded from the analysis due to low amplification efficiency are shown </w:t>
      </w:r>
      <w:r w:rsidRPr="00DA4F0D">
        <w:rPr>
          <w:rFonts w:ascii="Arial" w:hAnsi="Arial" w:cs="Arial"/>
          <w:color w:val="000000" w:themeColor="text1"/>
          <w:sz w:val="18"/>
          <w:szCs w:val="18"/>
        </w:rPr>
        <w:t xml:space="preserve">in </w:t>
      </w:r>
      <w:r w:rsidRPr="00DA4F0D"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  <w:t>grey italics</w:t>
      </w:r>
      <w:r w:rsidRPr="00DA4F0D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6C6DBE" w:rsidRPr="00DA4F0D" w:rsidRDefault="006C6DBE" w:rsidP="006C6DBE">
      <w:pPr>
        <w:spacing w:after="200" w:line="276" w:lineRule="auto"/>
        <w:jc w:val="both"/>
        <w:rPr>
          <w:rFonts w:ascii="Arial" w:hAnsi="Arial" w:cs="Arial"/>
          <w:sz w:val="16"/>
          <w:szCs w:val="16"/>
        </w:rPr>
      </w:pPr>
    </w:p>
    <w:p w:rsidR="006C6DBE" w:rsidRDefault="006C6DBE" w:rsidP="006C6DBE">
      <w:pPr>
        <w:spacing w:after="200" w:line="276" w:lineRule="auto"/>
        <w:rPr>
          <w:rFonts w:ascii="Arial" w:hAnsi="Arial" w:cs="Arial"/>
          <w:bCs/>
          <w:sz w:val="18"/>
          <w:szCs w:val="18"/>
        </w:rPr>
        <w:sectPr w:rsidR="006C6DBE" w:rsidSect="006C6DBE">
          <w:pgSz w:w="11906" w:h="16838"/>
          <w:pgMar w:top="1361" w:right="1440" w:bottom="1361" w:left="1440" w:header="708" w:footer="708" w:gutter="0"/>
          <w:cols w:space="708"/>
          <w:docGrid w:linePitch="360"/>
        </w:sectPr>
      </w:pPr>
      <w:r>
        <w:rPr>
          <w:rFonts w:ascii="Arial" w:hAnsi="Arial" w:cs="Arial"/>
          <w:bCs/>
          <w:sz w:val="18"/>
          <w:szCs w:val="18"/>
        </w:rPr>
        <w:br w:type="page"/>
      </w:r>
    </w:p>
    <w:tbl>
      <w:tblPr>
        <w:tblStyle w:val="TableGrid2"/>
        <w:tblpPr w:leftFromText="180" w:rightFromText="180" w:vertAnchor="page" w:horzAnchor="margin" w:tblpY="1419"/>
        <w:tblW w:w="13867" w:type="dxa"/>
        <w:tblLayout w:type="fixed"/>
        <w:tblLook w:val="04A0"/>
      </w:tblPr>
      <w:tblGrid>
        <w:gridCol w:w="2279"/>
        <w:gridCol w:w="1123"/>
        <w:gridCol w:w="1057"/>
        <w:gridCol w:w="3790"/>
        <w:gridCol w:w="3088"/>
        <w:gridCol w:w="2530"/>
      </w:tblGrid>
      <w:tr w:rsidR="006C6DBE" w:rsidRPr="00DA4F0D" w:rsidTr="007C2A01">
        <w:trPr>
          <w:trHeight w:val="390"/>
        </w:trPr>
        <w:tc>
          <w:tcPr>
            <w:tcW w:w="13867" w:type="dxa"/>
            <w:gridSpan w:val="6"/>
            <w:shd w:val="clear" w:color="auto" w:fill="auto"/>
            <w:vAlign w:val="center"/>
          </w:tcPr>
          <w:p w:rsidR="006C6DBE" w:rsidRPr="00244895" w:rsidRDefault="006C6DBE" w:rsidP="00832B98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0759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Table </w:t>
            </w:r>
            <w:r w:rsidRPr="00714CF4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832B9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07591">
              <w:rPr>
                <w:rFonts w:ascii="Arial" w:hAnsi="Arial" w:cs="Arial"/>
                <w:b/>
                <w:sz w:val="20"/>
                <w:szCs w:val="20"/>
              </w:rPr>
              <w:t>: Droplet digital PCR assay design.</w:t>
            </w:r>
            <w:r w:rsidRPr="00DA4F0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shd w:val="clear" w:color="auto" w:fill="auto"/>
            <w:vAlign w:val="center"/>
          </w:tcPr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Target mutation</w:t>
            </w:r>
          </w:p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(with coding strand)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Target strand   (+/-)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Amplicon size (bp)</w:t>
            </w:r>
          </w:p>
        </w:tc>
        <w:tc>
          <w:tcPr>
            <w:tcW w:w="3790" w:type="dxa"/>
            <w:shd w:val="clear" w:color="auto" w:fill="auto"/>
            <w:vAlign w:val="center"/>
          </w:tcPr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Assay primer sequences </w:t>
            </w:r>
          </w:p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(5'-3') (Forward/Reverse)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Probe sequence (5'-3')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(Mutant)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Probe sequence (5'-3')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:rsidR="006C6DBE" w:rsidRPr="00244895" w:rsidRDefault="006C6DBE" w:rsidP="007C2A0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895">
              <w:rPr>
                <w:rFonts w:ascii="Arial" w:hAnsi="Arial" w:cs="Arial"/>
                <w:b/>
                <w:bCs/>
                <w:sz w:val="18"/>
                <w:szCs w:val="18"/>
              </w:rPr>
              <w:t>(Wildtype)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VWDE</w:t>
            </w:r>
            <w:r w:rsidRPr="00DA4F0D">
              <w:rPr>
                <w:rFonts w:ascii="Arial" w:hAnsi="Arial" w:cs="Arial"/>
                <w:sz w:val="18"/>
                <w:szCs w:val="18"/>
              </w:rPr>
              <w:t xml:space="preserve"> (7:12384078, T&gt;C)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(+)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keepNext/>
              <w:keepLines/>
              <w:spacing w:before="200" w:after="0" w:line="240" w:lineRule="auto"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3790" w:type="dxa"/>
            <w:vAlign w:val="center"/>
          </w:tcPr>
          <w:p w:rsidR="006C6DBE" w:rsidRPr="00DA4F0D" w:rsidRDefault="006C6DBE" w:rsidP="007C2A01">
            <w:pPr>
              <w:keepNext/>
              <w:keepLines/>
              <w:spacing w:before="200" w:after="0" w:line="240" w:lineRule="auto"/>
              <w:jc w:val="both"/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CAATATGTATGTTCTGTTTTAGaCAA</w:t>
            </w:r>
            <w:proofErr w:type="spellEnd"/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 / GGGGCAACACACTCCCTACT</w:t>
            </w:r>
          </w:p>
        </w:tc>
        <w:tc>
          <w:tcPr>
            <w:tcW w:w="3088" w:type="dxa"/>
            <w:vAlign w:val="center"/>
          </w:tcPr>
          <w:p w:rsidR="006C6DBE" w:rsidRPr="00DA4F0D" w:rsidRDefault="006C6DBE" w:rsidP="007C2A01">
            <w:pPr>
              <w:keepNext/>
              <w:keepLines/>
              <w:spacing w:before="200" w:after="0" w:line="240" w:lineRule="auto"/>
              <w:jc w:val="both"/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TTAGCCATTTGTAAATATCC[A][c]GT 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keepNext/>
              <w:keepLines/>
              <w:spacing w:before="200" w:after="0" w:line="240" w:lineRule="auto"/>
              <w:jc w:val="both"/>
              <w:outlineLvl w:val="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TAGCCATTTGTAAATATCCA[t]GTGGAA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TP53 (</w:t>
            </w:r>
            <w:r w:rsidRPr="00DA4F0D">
              <w:rPr>
                <w:rFonts w:ascii="Arial" w:hAnsi="Arial" w:cs="Arial"/>
                <w:sz w:val="18"/>
                <w:szCs w:val="18"/>
              </w:rPr>
              <w:t>17:7577022, C&gt;T)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(-)</w:t>
            </w:r>
          </w:p>
        </w:tc>
        <w:tc>
          <w:tcPr>
            <w:tcW w:w="10464" w:type="dxa"/>
            <w:gridSpan w:val="4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 xml:space="preserve">Unknown (from Bio-Rad </w:t>
            </w:r>
            <w:r w:rsidRPr="00DA4F0D">
              <w:rPr>
                <w:rFonts w:ascii="Arial" w:eastAsia="Calibri" w:hAnsi="Arial" w:cs="Arial"/>
                <w:sz w:val="18"/>
                <w:szCs w:val="18"/>
              </w:rPr>
              <w:t xml:space="preserve">Laboratories, </w:t>
            </w:r>
            <w:hyperlink r:id="rId16" w:history="1">
              <w:r w:rsidRPr="00DA4F0D">
                <w:rPr>
                  <w:rFonts w:ascii="Arial" w:eastAsia="Calibri" w:hAnsi="Arial" w:cs="Arial"/>
                  <w:sz w:val="18"/>
                  <w:szCs w:val="18"/>
                </w:rPr>
                <w:t>California, United States</w:t>
              </w:r>
            </w:hyperlink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BRIP1 (</w:t>
            </w:r>
            <w:r w:rsidRPr="00DA4F0D">
              <w:rPr>
                <w:rFonts w:ascii="Arial" w:hAnsi="Arial" w:cs="Arial"/>
                <w:sz w:val="18"/>
                <w:szCs w:val="18"/>
              </w:rPr>
              <w:t>17:59761496, C&gt;G)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(+)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TGTTAGCTAGGAGCAGAAAGTTA/  </w:t>
            </w:r>
            <w:r w:rsidRPr="00DA4F0D">
              <w:rPr>
                <w:rFonts w:ascii="Arial" w:hAnsi="Arial" w:cs="Arial"/>
                <w:sz w:val="18"/>
                <w:szCs w:val="18"/>
              </w:rPr>
              <w:t>TGTTGAAAGTTGGGCTTGT</w:t>
            </w: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TCTTAGATGA[T][g]CAGTATTC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TCTTAGATGA[T][c]CAGTATTC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PTCH1 (</w:t>
            </w:r>
            <w:r w:rsidRPr="00DA4F0D">
              <w:rPr>
                <w:rFonts w:ascii="Arial" w:hAnsi="Arial" w:cs="Arial"/>
                <w:sz w:val="18"/>
                <w:szCs w:val="18"/>
              </w:rPr>
              <w:t>9:98239884, C&gt;A)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(-)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CTCCAAGTCCCAGGGTGC/ GTTGTTGCAGCGTTAAAGGAA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CC[T][t]CAGCCACTGACAGT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CAGTCCT[g]CAGCCACTGA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LPP</w:t>
            </w:r>
            <w:r w:rsidRPr="00DA4F0D">
              <w:rPr>
                <w:rFonts w:ascii="Arial" w:hAnsi="Arial" w:cs="Arial"/>
                <w:sz w:val="18"/>
                <w:szCs w:val="18"/>
              </w:rPr>
              <w:t xml:space="preserve"> (3:188327063, C&gt;A) (+)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(-)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CCAACCCCCTCTAACAGCAA / TGTTCCGATTGGAGCCACAG</w:t>
            </w:r>
          </w:p>
        </w:tc>
        <w:tc>
          <w:tcPr>
            <w:tcW w:w="308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TACATTGAA[A][a]CACAGCCTGCAC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TACATTGAAA[c]CACAGCCTGCAC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FLT4 (</w:t>
            </w:r>
            <w:r w:rsidRPr="00DA4F0D">
              <w:rPr>
                <w:rFonts w:ascii="Arial" w:hAnsi="Arial" w:cs="Arial"/>
                <w:sz w:val="18"/>
                <w:szCs w:val="18"/>
              </w:rPr>
              <w:t>5:180046092, G&gt;A)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(-)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GAAGTTGGAGAGGTTGCC/  GGTTCCGAACGCACG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C[A][t][G][A]TCACCATGAGG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C[A][c][G]ATCACCATGAGG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DACH1 (</w:t>
            </w:r>
            <w:r w:rsidRPr="00DA4F0D">
              <w:rPr>
                <w:rFonts w:ascii="Arial" w:hAnsi="Arial" w:cs="Arial"/>
                <w:sz w:val="18"/>
                <w:szCs w:val="18"/>
              </w:rPr>
              <w:t>13: 72053389, A&gt;C)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(+)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GGCTGTTGAAAGTTGCCAT /  ACTGCTTCTCAAGTGTTTCCC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CCAACTGG[A][c]AAAACTG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CCAACTGG[A][a]AAAACTG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EPHB6 (</w:t>
            </w:r>
            <w:r w:rsidRPr="00DA4F0D">
              <w:rPr>
                <w:rFonts w:ascii="Arial" w:hAnsi="Arial" w:cs="Arial"/>
                <w:sz w:val="18"/>
                <w:szCs w:val="18"/>
              </w:rPr>
              <w:t>7:142563798, G&gt;A) (+)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(+)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GCAAGGCTCAGCACTCATG /  ATTGAAGAGCAGGTCCCCTC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ACCC[C][t]CAGCTCC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ACCC[C][c]CAGCTCC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MMS22L</w:t>
            </w:r>
            <w:r w:rsidRPr="00DA4F0D">
              <w:rPr>
                <w:rFonts w:ascii="Arial" w:hAnsi="Arial" w:cs="Arial"/>
                <w:sz w:val="18"/>
                <w:szCs w:val="18"/>
              </w:rPr>
              <w:t xml:space="preserve"> (6:97634424, C&gt;T)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(+)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GTACAGTCTTCATTATCGGCTA / CGCAAGTTGTGAGAAAGG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AAGAG[T][t]AGAGAATGTCAC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AAGAGT[c]AGAGAATGTCAC 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ITIH2 (</w:t>
            </w:r>
            <w:r w:rsidRPr="00DA4F0D">
              <w:rPr>
                <w:rFonts w:ascii="Arial" w:hAnsi="Arial" w:cs="Arial"/>
                <w:sz w:val="18"/>
                <w:szCs w:val="18"/>
              </w:rPr>
              <w:t>10:7769692, C&gt;T) (+)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 w:themeColor="text1"/>
                <w:sz w:val="18"/>
                <w:szCs w:val="18"/>
              </w:rPr>
              <w:t>(-)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379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 xml:space="preserve">ATGGGATTTTCTGCGTGTG / </w:t>
            </w: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GAGTTGGGGTCTAACAGTCC</w:t>
            </w:r>
          </w:p>
        </w:tc>
        <w:tc>
          <w:tcPr>
            <w:tcW w:w="308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CACTCCT[A][t][G]GGCAATCTTC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CACTCCT[A][c]GGGCAATCTTC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KDM5B</w:t>
            </w:r>
            <w:r w:rsidRPr="00DA4F0D">
              <w:rPr>
                <w:rFonts w:ascii="Arial" w:hAnsi="Arial" w:cs="Arial"/>
                <w:sz w:val="18"/>
                <w:szCs w:val="18"/>
              </w:rPr>
              <w:t xml:space="preserve"> (1:202777369, C&gt;T)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(-)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379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GTGGATGAAAGCGAAGGGG / CCACCACACTGCACCCAG</w:t>
            </w:r>
          </w:p>
        </w:tc>
        <w:tc>
          <w:tcPr>
            <w:tcW w:w="308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AACTCGCCCAGC[a]G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AACTCGCCCAGC[g]G </w:t>
            </w:r>
          </w:p>
        </w:tc>
      </w:tr>
      <w:tr w:rsidR="006C6DBE" w:rsidRPr="00DA4F0D" w:rsidTr="007C2A01">
        <w:trPr>
          <w:trHeight w:val="557"/>
        </w:trPr>
        <w:tc>
          <w:tcPr>
            <w:tcW w:w="2279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i/>
                <w:sz w:val="18"/>
                <w:szCs w:val="18"/>
              </w:rPr>
              <w:t>PTPRB</w:t>
            </w:r>
            <w:r w:rsidRPr="00DA4F0D">
              <w:rPr>
                <w:rFonts w:ascii="Arial" w:hAnsi="Arial" w:cs="Arial"/>
                <w:sz w:val="18"/>
                <w:szCs w:val="18"/>
              </w:rPr>
              <w:t xml:space="preserve"> (12:70970320, C&gt;T) (-)</w:t>
            </w:r>
          </w:p>
        </w:tc>
        <w:tc>
          <w:tcPr>
            <w:tcW w:w="1123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(+)</w:t>
            </w:r>
          </w:p>
        </w:tc>
        <w:tc>
          <w:tcPr>
            <w:tcW w:w="105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3790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>CGGTGAACAATTCCGGTCGT /  ACTGAACCACCTTGCCGTCA</w:t>
            </w:r>
          </w:p>
        </w:tc>
        <w:tc>
          <w:tcPr>
            <w:tcW w:w="3088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ATAACTATGAG[G]T[A][A][t][A]T </w:t>
            </w:r>
          </w:p>
        </w:tc>
        <w:tc>
          <w:tcPr>
            <w:tcW w:w="2527" w:type="dxa"/>
            <w:vAlign w:val="center"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F0D">
              <w:rPr>
                <w:rFonts w:ascii="Arial" w:hAnsi="Arial" w:cs="Arial"/>
                <w:color w:val="000000"/>
                <w:sz w:val="18"/>
                <w:szCs w:val="18"/>
              </w:rPr>
              <w:t xml:space="preserve">TATGAGGTA[A][c][A]TTGTCTC </w:t>
            </w:r>
          </w:p>
        </w:tc>
      </w:tr>
    </w:tbl>
    <w:p w:rsidR="006C6DBE" w:rsidRDefault="006C6DBE" w:rsidP="006C6DB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C6DBE" w:rsidRPr="006C6DBE" w:rsidRDefault="006C6DBE" w:rsidP="007C2A01">
      <w:pPr>
        <w:spacing w:after="0" w:line="240" w:lineRule="auto"/>
        <w:jc w:val="both"/>
        <w:rPr>
          <w:rFonts w:ascii="Arial" w:hAnsi="Arial" w:cs="Arial"/>
          <w:sz w:val="18"/>
          <w:szCs w:val="18"/>
          <w:rPrChange w:id="0" w:author="Unknown">
            <w:rPr>
              <w:rFonts w:ascii="Arial" w:hAnsi="Arial" w:cs="Arial"/>
              <w:sz w:val="20"/>
              <w:szCs w:val="20"/>
              <w:shd w:val="clear" w:color="auto" w:fill="FFFFFF"/>
            </w:rPr>
          </w:rPrChange>
        </w:rPr>
        <w:sectPr w:rsidR="006C6DBE" w:rsidRPr="006C6DBE" w:rsidSect="006C6DBE">
          <w:pgSz w:w="16838" w:h="11906" w:orient="landscape"/>
          <w:pgMar w:top="1440" w:right="1361" w:bottom="1440" w:left="1361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t xml:space="preserve">* </w:t>
      </w:r>
      <w:proofErr w:type="spellStart"/>
      <w:r w:rsidRPr="00DA4F0D">
        <w:rPr>
          <w:rFonts w:ascii="Arial" w:eastAsia="Calibri" w:hAnsi="Arial" w:cs="Arial"/>
          <w:sz w:val="18"/>
          <w:szCs w:val="18"/>
        </w:rPr>
        <w:t>Taqman</w:t>
      </w:r>
      <w:proofErr w:type="spellEnd"/>
      <w:r w:rsidRPr="00DA4F0D">
        <w:rPr>
          <w:rFonts w:ascii="Arial" w:eastAsia="Calibri" w:hAnsi="Arial" w:cs="Arial"/>
          <w:sz w:val="18"/>
          <w:szCs w:val="18"/>
        </w:rPr>
        <w:t xml:space="preserve"> hydrolysis p</w:t>
      </w:r>
      <w:r w:rsidRPr="00DA4F0D">
        <w:rPr>
          <w:rFonts w:ascii="Arial" w:hAnsi="Arial" w:cs="Arial"/>
          <w:sz w:val="18"/>
          <w:szCs w:val="18"/>
        </w:rPr>
        <w:t>robe bases enclosed in square brackets represent locked nucleic acids (LNAs). Small case characters in the probes represent the sites of the target mutations.</w:t>
      </w:r>
    </w:p>
    <w:tbl>
      <w:tblPr>
        <w:tblW w:w="8046" w:type="dxa"/>
        <w:tblLook w:val="04A0"/>
      </w:tblPr>
      <w:tblGrid>
        <w:gridCol w:w="817"/>
        <w:gridCol w:w="576"/>
        <w:gridCol w:w="1409"/>
        <w:gridCol w:w="1417"/>
        <w:gridCol w:w="1276"/>
        <w:gridCol w:w="1134"/>
        <w:gridCol w:w="1417"/>
      </w:tblGrid>
      <w:tr w:rsidR="006C6DBE" w:rsidRPr="00DA4F0D" w:rsidTr="007C2A01">
        <w:trPr>
          <w:trHeight w:val="341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DBE" w:rsidRPr="00DA4F0D" w:rsidRDefault="006C6DBE" w:rsidP="00832B9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 xml:space="preserve">Table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</w:t>
            </w:r>
            <w:r w:rsidR="00832B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IonTorrent</w:t>
            </w:r>
            <w:proofErr w:type="spellEnd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Sarcoma SNV </w:t>
            </w:r>
            <w:proofErr w:type="spellStart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Ampliseq</w:t>
            </w:r>
            <w:proofErr w:type="spellEnd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pools (Sarcoma V345)</w:t>
            </w:r>
          </w:p>
        </w:tc>
      </w:tr>
      <w:tr w:rsidR="006C6DBE" w:rsidRPr="00DA4F0D" w:rsidTr="007C2A01">
        <w:trPr>
          <w:trHeight w:val="62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Patient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Chr. 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Amplicon start point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Amplicon end point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Gene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Amplicon length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tNGS</w:t>
            </w:r>
            <w:proofErr w:type="spellEnd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Ampliseq</w:t>
            </w:r>
            <w:proofErr w:type="spellEnd"/>
            <w:r w:rsidRPr="00DA4F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pool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51695706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51695749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PKHD1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41550914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41550951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DSCAM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30035146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30035192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NF2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71492808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71492858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MAP1B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95373574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95373608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CENPP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X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101152970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101153014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ZMAT1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212652717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212652772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ERBB4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48502021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48502071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ATRIP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49400720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49400768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FRMPD2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29068931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29068969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FLT1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51329049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51329104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KLK15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15082658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15082712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SLC1A6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85852647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85852693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USP39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227906861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227906917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COL4A4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46062647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46062701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XCR1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142759370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142759419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ADGRG6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72492003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72492056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ADAMTS14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166187891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166187940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SCN2A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66786145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66786202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GRIP1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95658999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95659036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CLMN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V3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27549519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27549572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GTF3C2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52582202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52582245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PBRM1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187455553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187455586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MTNR1A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49027106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49027145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RB1*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115544314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115544361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UGT8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26484826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26484868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CCKAR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113702186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113702232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CSMD3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134177007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134177043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GLB1L3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52497020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52497075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MYO5C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65449198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65449235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CLPX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V4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75101482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75101513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HK2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112178496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112178542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45262553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45262597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HCN1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91737896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91737948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AKAP9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32482238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32482285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SLC5A1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183681182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183681232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ABCC5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14367021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14367074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TRIO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137895629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137895678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HSPA9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57078902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57078957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PLAG1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126075430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126075463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RPUSD4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107393391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107393442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CRY1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  <w:t>7230122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  <w:t>7230181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  <w:t>NEURL4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8"/>
                <w:szCs w:val="18"/>
                <w:lang w:eastAsia="en-GB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12821432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12821490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TNPO2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103288612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103288659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TPP2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7577080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7577127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TP53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V5</w:t>
            </w:r>
          </w:p>
        </w:tc>
      </w:tr>
      <w:tr w:rsidR="006C6DBE" w:rsidRPr="00DA4F0D" w:rsidTr="007C2A01">
        <w:trPr>
          <w:trHeight w:val="23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6697434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6697491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i/>
                <w:iCs/>
                <w:color w:val="808080"/>
                <w:sz w:val="18"/>
                <w:szCs w:val="18"/>
                <w:lang w:eastAsia="en-GB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DBE" w:rsidRPr="00DA4F0D" w:rsidRDefault="006C6DBE" w:rsidP="007C2A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</w:pPr>
            <w:r w:rsidRPr="00DA4F0D">
              <w:rPr>
                <w:rFonts w:ascii="Arial" w:eastAsia="Times New Roman" w:hAnsi="Arial" w:cs="Arial"/>
                <w:color w:val="808080"/>
                <w:sz w:val="18"/>
                <w:szCs w:val="18"/>
                <w:lang w:eastAsia="en-GB"/>
              </w:rPr>
              <w:t>V5</w:t>
            </w:r>
          </w:p>
        </w:tc>
      </w:tr>
    </w:tbl>
    <w:p w:rsidR="006C6DBE" w:rsidRPr="00DA4F0D" w:rsidRDefault="006C6DBE" w:rsidP="006C6DBE">
      <w:pPr>
        <w:spacing w:after="0" w:line="276" w:lineRule="auto"/>
        <w:ind w:right="1796"/>
        <w:jc w:val="both"/>
        <w:rPr>
          <w:rFonts w:ascii="Arial" w:hAnsi="Arial" w:cs="Arial"/>
          <w:sz w:val="18"/>
          <w:szCs w:val="18"/>
        </w:rPr>
      </w:pPr>
    </w:p>
    <w:p w:rsidR="006C6DBE" w:rsidRPr="00DA4F0D" w:rsidRDefault="006C6DBE" w:rsidP="006C6DBE">
      <w:pPr>
        <w:spacing w:after="0" w:line="276" w:lineRule="auto"/>
        <w:ind w:right="1796"/>
        <w:jc w:val="both"/>
        <w:rPr>
          <w:rFonts w:ascii="Arial" w:hAnsi="Arial" w:cs="Arial"/>
          <w:sz w:val="18"/>
          <w:szCs w:val="18"/>
        </w:rPr>
      </w:pPr>
      <w:r w:rsidRPr="00DA4F0D">
        <w:rPr>
          <w:rFonts w:ascii="Arial" w:hAnsi="Arial" w:cs="Arial"/>
          <w:sz w:val="18"/>
          <w:szCs w:val="18"/>
        </w:rPr>
        <w:t>Amplicons that were excluded from the analysis due to low amplification efficiency, low level variant detection in all samples (&gt;0.1%), or allele drop out are shown in</w:t>
      </w:r>
      <w:r w:rsidRPr="00DA4F0D">
        <w:rPr>
          <w:rFonts w:ascii="Arial" w:hAnsi="Arial" w:cs="Arial"/>
          <w:i/>
          <w:iCs/>
          <w:sz w:val="18"/>
          <w:szCs w:val="18"/>
        </w:rPr>
        <w:t xml:space="preserve"> grey italics</w:t>
      </w:r>
      <w:r w:rsidRPr="00DA4F0D">
        <w:rPr>
          <w:rFonts w:ascii="Arial" w:hAnsi="Arial" w:cs="Arial"/>
          <w:sz w:val="18"/>
          <w:szCs w:val="18"/>
        </w:rPr>
        <w:t xml:space="preserve">. </w:t>
      </w:r>
    </w:p>
    <w:p w:rsidR="007C2A01" w:rsidRDefault="006C6DBE" w:rsidP="006C6DBE">
      <w:pPr>
        <w:spacing w:after="0" w:line="276" w:lineRule="auto"/>
        <w:ind w:right="1796"/>
        <w:jc w:val="both"/>
        <w:rPr>
          <w:rFonts w:ascii="Arial" w:hAnsi="Arial" w:cs="Arial"/>
          <w:sz w:val="18"/>
          <w:szCs w:val="18"/>
        </w:rPr>
        <w:sectPr w:rsidR="007C2A01" w:rsidSect="007C2A01">
          <w:pgSz w:w="11906" w:h="16838"/>
          <w:pgMar w:top="1361" w:right="1440" w:bottom="1361" w:left="1440" w:header="709" w:footer="709" w:gutter="0"/>
          <w:cols w:space="708"/>
          <w:docGrid w:linePitch="360"/>
        </w:sectPr>
      </w:pPr>
      <w:r w:rsidRPr="00DA4F0D">
        <w:rPr>
          <w:rFonts w:ascii="Arial" w:hAnsi="Arial" w:cs="Arial"/>
          <w:sz w:val="18"/>
          <w:szCs w:val="18"/>
        </w:rPr>
        <w:t xml:space="preserve">* The RB1 amplicon (patient 38) in the Ion Torrent </w:t>
      </w:r>
      <w:proofErr w:type="spellStart"/>
      <w:r w:rsidRPr="00DA4F0D">
        <w:rPr>
          <w:rFonts w:ascii="Arial" w:hAnsi="Arial" w:cs="Arial"/>
          <w:sz w:val="18"/>
          <w:szCs w:val="18"/>
        </w:rPr>
        <w:t>Ampliseq</w:t>
      </w:r>
      <w:proofErr w:type="spellEnd"/>
      <w:r w:rsidRPr="00DA4F0D">
        <w:rPr>
          <w:rFonts w:ascii="Arial" w:hAnsi="Arial" w:cs="Arial"/>
          <w:sz w:val="18"/>
          <w:szCs w:val="18"/>
        </w:rPr>
        <w:t xml:space="preserve"> panel showed poor amplification. It was replaced by an alternative amplicon developed in house</w:t>
      </w:r>
      <w:r>
        <w:rPr>
          <w:rFonts w:ascii="Arial" w:hAnsi="Arial" w:cs="Arial"/>
          <w:sz w:val="18"/>
          <w:szCs w:val="18"/>
        </w:rPr>
        <w:t>.</w:t>
      </w:r>
    </w:p>
    <w:tbl>
      <w:tblPr>
        <w:tblStyle w:val="TableGrid"/>
        <w:tblW w:w="14283" w:type="dxa"/>
        <w:tblLayout w:type="fixed"/>
        <w:tblLook w:val="04A0"/>
      </w:tblPr>
      <w:tblGrid>
        <w:gridCol w:w="1101"/>
        <w:gridCol w:w="992"/>
        <w:gridCol w:w="567"/>
        <w:gridCol w:w="1417"/>
        <w:gridCol w:w="426"/>
        <w:gridCol w:w="2409"/>
        <w:gridCol w:w="567"/>
        <w:gridCol w:w="1134"/>
        <w:gridCol w:w="1134"/>
        <w:gridCol w:w="993"/>
        <w:gridCol w:w="850"/>
        <w:gridCol w:w="851"/>
        <w:gridCol w:w="1134"/>
        <w:gridCol w:w="708"/>
      </w:tblGrid>
      <w:tr w:rsidR="007C2A01" w:rsidRPr="00010B94" w:rsidTr="007C2A01">
        <w:trPr>
          <w:trHeight w:val="204"/>
        </w:trPr>
        <w:tc>
          <w:tcPr>
            <w:tcW w:w="8613" w:type="dxa"/>
            <w:gridSpan w:val="8"/>
            <w:vAlign w:val="center"/>
          </w:tcPr>
          <w:p w:rsidR="007C2A01" w:rsidRPr="00B16F44" w:rsidRDefault="007C2A01" w:rsidP="00832B9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2"/>
                <w:lang w:eastAsia="en-GB"/>
              </w:rPr>
            </w:pPr>
            <w:r w:rsidRPr="00B16F44">
              <w:rPr>
                <w:rFonts w:ascii="Arial" w:hAnsi="Arial" w:cs="Arial"/>
                <w:b/>
                <w:sz w:val="18"/>
                <w:szCs w:val="12"/>
              </w:rPr>
              <w:lastRenderedPageBreak/>
              <w:t xml:space="preserve">Supplementary Table </w:t>
            </w:r>
            <w:r w:rsidR="00832B98">
              <w:rPr>
                <w:rFonts w:ascii="Arial" w:hAnsi="Arial" w:cs="Arial"/>
                <w:b/>
                <w:sz w:val="18"/>
                <w:szCs w:val="12"/>
              </w:rPr>
              <w:t>5</w:t>
            </w:r>
            <w:r w:rsidRPr="00B16F44">
              <w:rPr>
                <w:rFonts w:ascii="Arial" w:hAnsi="Arial" w:cs="Arial"/>
                <w:b/>
                <w:sz w:val="18"/>
                <w:szCs w:val="12"/>
              </w:rPr>
              <w:t xml:space="preserve">. Analysis of </w:t>
            </w:r>
            <w:proofErr w:type="spellStart"/>
            <w:r w:rsidRPr="00B16F44">
              <w:rPr>
                <w:rFonts w:ascii="Arial" w:hAnsi="Arial" w:cs="Arial"/>
                <w:b/>
                <w:sz w:val="18"/>
                <w:szCs w:val="12"/>
              </w:rPr>
              <w:t>ctDNA</w:t>
            </w:r>
            <w:proofErr w:type="spellEnd"/>
            <w:r w:rsidRPr="00B16F44">
              <w:rPr>
                <w:rFonts w:ascii="Arial" w:hAnsi="Arial" w:cs="Arial"/>
                <w:b/>
                <w:sz w:val="18"/>
                <w:szCs w:val="12"/>
              </w:rPr>
              <w:t xml:space="preserve"> using the </w:t>
            </w:r>
            <w:proofErr w:type="spellStart"/>
            <w:r w:rsidRPr="00B16F44">
              <w:rPr>
                <w:rFonts w:ascii="Arial" w:hAnsi="Arial" w:cs="Arial"/>
                <w:b/>
                <w:sz w:val="18"/>
                <w:szCs w:val="12"/>
              </w:rPr>
              <w:t>IonTorrent</w:t>
            </w:r>
            <w:proofErr w:type="spellEnd"/>
            <w:r w:rsidRPr="00B16F44">
              <w:rPr>
                <w:rFonts w:ascii="Arial" w:hAnsi="Arial" w:cs="Arial"/>
                <w:b/>
                <w:sz w:val="18"/>
                <w:szCs w:val="12"/>
              </w:rPr>
              <w:t xml:space="preserve"> Sarcoma  V345 panel</w:t>
            </w:r>
            <w:r w:rsidRPr="00B16F44">
              <w:rPr>
                <w:rFonts w:ascii="Arial" w:eastAsia="Times New Roman" w:hAnsi="Arial" w:cs="Arial"/>
                <w:b/>
                <w:color w:val="000000"/>
                <w:sz w:val="18"/>
                <w:szCs w:val="12"/>
                <w:lang w:eastAsia="en-GB"/>
              </w:rPr>
              <w:t xml:space="preserve"> </w:t>
            </w:r>
          </w:p>
        </w:tc>
        <w:tc>
          <w:tcPr>
            <w:tcW w:w="2127" w:type="dxa"/>
            <w:gridSpan w:val="2"/>
            <w:vAlign w:val="center"/>
          </w:tcPr>
          <w:p w:rsidR="007C2A01" w:rsidRPr="00B16F44" w:rsidRDefault="007C2A01" w:rsidP="007C2A01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2"/>
              </w:rPr>
            </w:pPr>
            <w:proofErr w:type="spellStart"/>
            <w:r w:rsidRPr="00B16F44">
              <w:rPr>
                <w:rFonts w:ascii="Arial" w:hAnsi="Arial" w:cs="Arial"/>
                <w:b/>
                <w:color w:val="000000"/>
                <w:sz w:val="18"/>
                <w:szCs w:val="12"/>
              </w:rPr>
              <w:t>cfDNA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7C2A01" w:rsidRPr="00B16F44" w:rsidRDefault="007C2A01" w:rsidP="007C2A01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2"/>
              </w:rPr>
            </w:pPr>
            <w:r w:rsidRPr="00B16F44">
              <w:rPr>
                <w:rFonts w:ascii="Arial" w:hAnsi="Arial" w:cs="Arial"/>
                <w:b/>
                <w:color w:val="000000"/>
                <w:sz w:val="18"/>
                <w:szCs w:val="12"/>
              </w:rPr>
              <w:t>Tumour DNA</w:t>
            </w:r>
          </w:p>
        </w:tc>
        <w:tc>
          <w:tcPr>
            <w:tcW w:w="1842" w:type="dxa"/>
            <w:gridSpan w:val="2"/>
            <w:vAlign w:val="center"/>
          </w:tcPr>
          <w:p w:rsidR="007C2A01" w:rsidRPr="00B16F44" w:rsidRDefault="007C2A01" w:rsidP="007C2A01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2"/>
              </w:rPr>
            </w:pPr>
            <w:r w:rsidRPr="00B16F44">
              <w:rPr>
                <w:rFonts w:ascii="Arial" w:hAnsi="Arial" w:cs="Arial"/>
                <w:b/>
                <w:color w:val="000000"/>
                <w:sz w:val="18"/>
                <w:szCs w:val="12"/>
              </w:rPr>
              <w:t>BC DNA</w:t>
            </w:r>
          </w:p>
        </w:tc>
      </w:tr>
      <w:tr w:rsidR="007C2A01" w:rsidRPr="00010B94" w:rsidTr="007C2A01">
        <w:trPr>
          <w:cantSplit/>
          <w:trHeight w:val="902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Pt31,34,35,37- </w:t>
            </w:r>
            <w:proofErr w:type="spellStart"/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tNGS</w:t>
            </w:r>
            <w:proofErr w:type="spellEnd"/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 pool V3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Gene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SNV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Variant Frequency in Tumour WES (%)</w:t>
            </w:r>
          </w:p>
        </w:tc>
        <w:tc>
          <w:tcPr>
            <w:tcW w:w="426" w:type="dxa"/>
            <w:shd w:val="clear" w:color="auto" w:fill="D9D9D9" w:themeFill="background1" w:themeFillShade="D9"/>
            <w:textDirection w:val="tbRl"/>
            <w:vAlign w:val="center"/>
          </w:tcPr>
          <w:p w:rsidR="007C2A01" w:rsidRPr="00010B94" w:rsidRDefault="007C2A01" w:rsidP="007C2A0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Tumour %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Comments 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proofErr w:type="spellStart"/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Chr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C</w:t>
            </w: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oordinate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Ion Torrent read depth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SNV detected %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Ion Torrent read depth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SNV detected %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 Ion Torrent read depth</w:t>
            </w:r>
          </w:p>
        </w:tc>
        <w:tc>
          <w:tcPr>
            <w:tcW w:w="708" w:type="dxa"/>
            <w:shd w:val="clear" w:color="auto" w:fill="D9D9D9" w:themeFill="background1" w:themeFillShade="D9"/>
            <w:textDirection w:val="tbRl"/>
            <w:vAlign w:val="center"/>
          </w:tcPr>
          <w:p w:rsidR="007C2A01" w:rsidRPr="00010B94" w:rsidRDefault="007C2A01" w:rsidP="007C2A0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SNV detected %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 31 </w:t>
            </w:r>
          </w:p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( T23)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NF2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60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COSMIC ID: COSM6848123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30035181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3992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0.05%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3214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27%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PKHD1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sarcomas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51695719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22089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0.02%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26431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20%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DSCAM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sarcomas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41550926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15107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0.05%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25448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16%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 34 </w:t>
            </w:r>
          </w:p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(T24)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ZMAT1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sarcomas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 xml:space="preserve"> X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101153003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1515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50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46%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CENPP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27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95373595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7096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485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14%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MAP1B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20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71492844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3916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215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17%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PT35</w:t>
            </w:r>
          </w:p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 (T25)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FRMPD2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46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 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10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49400730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8159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0.06%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5355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20%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897/8098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0.20%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FLT1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45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13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29068938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10336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0.07%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3780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36%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907/8203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0.07%</w:t>
            </w:r>
          </w:p>
        </w:tc>
      </w:tr>
      <w:tr w:rsidR="007C2A01" w:rsidRPr="00010B94" w:rsidTr="007C2A01">
        <w:tc>
          <w:tcPr>
            <w:tcW w:w="110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PT37 (T26)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SCN2A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T&gt;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20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80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sarcomas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166187927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578 **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0.17%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362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yes 24%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PT36,38.40 - </w:t>
            </w:r>
            <w:proofErr w:type="spellStart"/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tNGS</w:t>
            </w:r>
            <w:proofErr w:type="spellEnd"/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 pool V4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 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 36 </w:t>
            </w:r>
          </w:p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(T27)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XCR1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COSMIC ID: COSM4166892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46062685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832/14809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0.08%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7665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41%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USP39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T&gt;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G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85852681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510/7705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2938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49%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ADAMTS14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 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10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72492032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1852/26794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0.02%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12150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42%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COL4A4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40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sarcomas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227906875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1096/17230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0.03%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6185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46%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Pt 38</w:t>
            </w:r>
          </w:p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 (T28)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RB1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76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Cosmic known cancer gene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13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49027128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186458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0.001%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60874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52%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59456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0.002%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MTNR1A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187455565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1016/2950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11156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37%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GTF3C2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T&gt;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40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all cancers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27549568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2722/7339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0.07%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21470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34%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 40 </w:t>
            </w:r>
          </w:p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(T30)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MYO5C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A&gt;</w:t>
            </w:r>
            <w:r w:rsidRPr="00010B94">
              <w:rPr>
                <w:rFonts w:ascii="Arial" w:hAnsi="Arial" w:cs="Arial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84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52497065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2052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2766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85%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897/2698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0.07%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GLB1L3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64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sarcomas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134177026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3451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827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58%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470/1004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ED7D31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CSMD3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>A&gt;</w:t>
            </w:r>
            <w:r w:rsidRPr="00010B94">
              <w:rPr>
                <w:rFonts w:ascii="Arial" w:hAnsi="Arial" w:cs="Arial"/>
                <w:sz w:val="16"/>
                <w:szCs w:val="12"/>
              </w:rPr>
              <w:t>G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63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COSMIC ID: COSM1095155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8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113702211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866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*** 0.35%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1834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yes 44%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351/770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0.13%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CLPX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T&gt;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G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42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65449223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8486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15603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38%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1932/4650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0.06%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UGT8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50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COSMIC  ID: COSM201859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115544340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1871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0.11%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1932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21%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314/670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0.15%</w:t>
            </w:r>
          </w:p>
        </w:tc>
      </w:tr>
      <w:tr w:rsidR="007C2A01" w:rsidRPr="00010B94" w:rsidTr="007C2A01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Pt41,43,44-  </w:t>
            </w:r>
            <w:proofErr w:type="spellStart"/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tNGS</w:t>
            </w:r>
            <w:proofErr w:type="spellEnd"/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 pool V5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 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 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 xml:space="preserve">PT41 </w:t>
            </w:r>
          </w:p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(T31)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SLC5A1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21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32482259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3158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1646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13%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AKAP9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21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Cosmic putative cancer gene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91737924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2245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0.04%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1629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28%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HCN1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45262589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3258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1967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25%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-</w:t>
            </w:r>
          </w:p>
        </w:tc>
      </w:tr>
      <w:tr w:rsidR="007C2A01" w:rsidRPr="00010B94" w:rsidTr="007C2A01">
        <w:tc>
          <w:tcPr>
            <w:tcW w:w="1101" w:type="dxa"/>
            <w:vMerge w:val="restart"/>
            <w:shd w:val="clear" w:color="auto" w:fill="FF6699"/>
            <w:vAlign w:val="center"/>
          </w:tcPr>
          <w:p w:rsidR="007C2A01" w:rsidRPr="00010B94" w:rsidRDefault="007C2A01" w:rsidP="007C2A01">
            <w:pPr>
              <w:shd w:val="clear" w:color="auto" w:fill="FF6699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Pt 43</w:t>
            </w:r>
          </w:p>
          <w:p w:rsidR="007C2A01" w:rsidRPr="00010B94" w:rsidRDefault="007C2A01" w:rsidP="007C2A01">
            <w:pPr>
              <w:shd w:val="clear" w:color="auto" w:fill="FF6699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(T32)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ABCC5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67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183681223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3939</w:t>
            </w:r>
          </w:p>
        </w:tc>
        <w:tc>
          <w:tcPr>
            <w:tcW w:w="993" w:type="dxa"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1.19%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2889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58%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6195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0.03%</w:t>
            </w:r>
          </w:p>
        </w:tc>
      </w:tr>
      <w:tr w:rsidR="007C2A01" w:rsidRPr="00010B94" w:rsidTr="007C2A01">
        <w:tc>
          <w:tcPr>
            <w:tcW w:w="1101" w:type="dxa"/>
            <w:vMerge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RPUSD4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56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126075438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2748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E64A77">
              <w:rPr>
                <w:rFonts w:ascii="Arial" w:hAnsi="Arial" w:cs="Arial"/>
                <w:color w:val="000000"/>
                <w:sz w:val="14"/>
                <w:szCs w:val="12"/>
              </w:rPr>
              <w:t>strand bias 2263+/529-; 0.29%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14657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43%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5118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0.18%</w:t>
            </w:r>
          </w:p>
        </w:tc>
      </w:tr>
      <w:tr w:rsidR="007C2A01" w:rsidRPr="00010B94" w:rsidTr="007C2A01">
        <w:tc>
          <w:tcPr>
            <w:tcW w:w="1101" w:type="dxa"/>
            <w:vMerge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TRIO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49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14367062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5670</w:t>
            </w:r>
          </w:p>
        </w:tc>
        <w:tc>
          <w:tcPr>
            <w:tcW w:w="993" w:type="dxa"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0.65%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17322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41%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9762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0.05%</w:t>
            </w:r>
          </w:p>
        </w:tc>
      </w:tr>
      <w:tr w:rsidR="007C2A01" w:rsidRPr="00010B94" w:rsidTr="007C2A01">
        <w:tc>
          <w:tcPr>
            <w:tcW w:w="1101" w:type="dxa"/>
            <w:vMerge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PLAG1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A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48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Cosmic known cancer gene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8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57078921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2259</w:t>
            </w:r>
          </w:p>
        </w:tc>
        <w:tc>
          <w:tcPr>
            <w:tcW w:w="993" w:type="dxa"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0.93%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5230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45%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4903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0.00%</w:t>
            </w:r>
          </w:p>
        </w:tc>
      </w:tr>
      <w:tr w:rsidR="007C2A01" w:rsidRPr="00010B94" w:rsidTr="007C2A01">
        <w:tc>
          <w:tcPr>
            <w:tcW w:w="1101" w:type="dxa"/>
            <w:vMerge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HSPA9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C&gt;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T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41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* cancer associated - mouse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137895674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5936</w:t>
            </w:r>
          </w:p>
        </w:tc>
        <w:tc>
          <w:tcPr>
            <w:tcW w:w="993" w:type="dxa"/>
            <w:shd w:val="clear" w:color="auto" w:fill="FF6699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0.83%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25278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46%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13449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0.07%</w:t>
            </w:r>
          </w:p>
        </w:tc>
      </w:tr>
      <w:tr w:rsidR="007C2A01" w:rsidRPr="00010B94" w:rsidTr="007C2A01">
        <w:tc>
          <w:tcPr>
            <w:tcW w:w="110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b/>
                <w:bCs/>
                <w:color w:val="000000"/>
                <w:sz w:val="16"/>
                <w:szCs w:val="12"/>
              </w:rPr>
              <w:t>Pt 44 (T33)</w:t>
            </w:r>
          </w:p>
        </w:tc>
        <w:tc>
          <w:tcPr>
            <w:tcW w:w="992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TP53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>
              <w:rPr>
                <w:rFonts w:ascii="Arial" w:hAnsi="Arial" w:cs="Arial"/>
                <w:color w:val="000000"/>
                <w:sz w:val="16"/>
                <w:szCs w:val="12"/>
              </w:rPr>
              <w:t>G&gt;</w:t>
            </w: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C</w:t>
            </w:r>
          </w:p>
        </w:tc>
        <w:tc>
          <w:tcPr>
            <w:tcW w:w="141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2"/>
              </w:rPr>
            </w:pPr>
            <w:r w:rsidRPr="00010B94">
              <w:rPr>
                <w:rFonts w:ascii="Arial" w:hAnsi="Arial" w:cs="Arial"/>
                <w:sz w:val="16"/>
                <w:szCs w:val="12"/>
              </w:rPr>
              <w:t>38</w:t>
            </w:r>
          </w:p>
        </w:tc>
        <w:tc>
          <w:tcPr>
            <w:tcW w:w="426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90</w:t>
            </w:r>
          </w:p>
        </w:tc>
        <w:tc>
          <w:tcPr>
            <w:tcW w:w="2409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mutated in &gt;1% of sarcomas</w:t>
            </w:r>
          </w:p>
        </w:tc>
        <w:tc>
          <w:tcPr>
            <w:tcW w:w="567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17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7577111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4891</w:t>
            </w:r>
          </w:p>
        </w:tc>
        <w:tc>
          <w:tcPr>
            <w:tcW w:w="993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0.04%</w:t>
            </w:r>
          </w:p>
        </w:tc>
        <w:tc>
          <w:tcPr>
            <w:tcW w:w="850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9457</w:t>
            </w:r>
          </w:p>
        </w:tc>
        <w:tc>
          <w:tcPr>
            <w:tcW w:w="851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yes 35%</w:t>
            </w:r>
          </w:p>
        </w:tc>
        <w:tc>
          <w:tcPr>
            <w:tcW w:w="1134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21836</w:t>
            </w:r>
          </w:p>
        </w:tc>
        <w:tc>
          <w:tcPr>
            <w:tcW w:w="708" w:type="dxa"/>
            <w:vAlign w:val="center"/>
          </w:tcPr>
          <w:p w:rsidR="007C2A01" w:rsidRPr="00010B94" w:rsidRDefault="007C2A01" w:rsidP="007C2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2"/>
              </w:rPr>
            </w:pPr>
            <w:r w:rsidRPr="00010B94">
              <w:rPr>
                <w:rFonts w:ascii="Arial" w:hAnsi="Arial" w:cs="Arial"/>
                <w:color w:val="000000"/>
                <w:sz w:val="16"/>
                <w:szCs w:val="12"/>
              </w:rPr>
              <w:t>0.02%</w:t>
            </w:r>
          </w:p>
        </w:tc>
      </w:tr>
    </w:tbl>
    <w:p w:rsidR="007C2A01" w:rsidRPr="005054FA" w:rsidRDefault="007C2A01" w:rsidP="007C2A0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lastRenderedPageBreak/>
        <w:t>SNV alleles detect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ed</w:t>
      </w:r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at &lt;0.1% were deemed to be background noise and disregarded</w:t>
      </w:r>
    </w:p>
    <w:p w:rsidR="007C2A01" w:rsidRPr="005054FA" w:rsidRDefault="007C2A01" w:rsidP="007C2A0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SNV alleles detected at &gt;0.5% in </w:t>
      </w:r>
      <w:proofErr w:type="spell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cfDNA</w:t>
      </w:r>
      <w:proofErr w:type="spellEnd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were taken as positive evidence of </w:t>
      </w:r>
      <w:proofErr w:type="spell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ctDNA</w:t>
      </w:r>
      <w:proofErr w:type="spellEnd"/>
    </w:p>
    <w:p w:rsidR="007C2A01" w:rsidRPr="005054FA" w:rsidRDefault="007C2A01" w:rsidP="007C2A0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* Mouse insertional mutagenesis experiments support the designation of gene as a cancer causing gene</w:t>
      </w:r>
    </w:p>
    <w:p w:rsidR="007C2A01" w:rsidRPr="005054FA" w:rsidRDefault="007C2A01" w:rsidP="007C2A0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** Read depth low in </w:t>
      </w:r>
      <w:proofErr w:type="spell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cfDNA</w:t>
      </w:r>
      <w:proofErr w:type="spellEnd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and tumour samples from Pt37 but averaged 988 reads across the other samples assayed using the </w:t>
      </w:r>
      <w:proofErr w:type="spell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Ampliseq</w:t>
      </w:r>
      <w:proofErr w:type="spellEnd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pool v4</w:t>
      </w:r>
    </w:p>
    <w:p w:rsidR="00954737" w:rsidRDefault="007C2A01" w:rsidP="007C2A0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*** This amplicon showed unexpected strand bias in the </w:t>
      </w:r>
      <w:proofErr w:type="spell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cfDNA</w:t>
      </w:r>
      <w:proofErr w:type="spellEnd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(61+/805</w:t>
      </w:r>
      <w:proofErr w:type="gram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-)</w:t>
      </w:r>
      <w:proofErr w:type="gramEnd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that was not seen in tumour or BC DNA); the variant allele was detec</w:t>
      </w:r>
      <w:r>
        <w:rPr>
          <w:rFonts w:ascii="Arial" w:eastAsia="Times New Roman" w:hAnsi="Arial" w:cs="Arial"/>
          <w:color w:val="000000"/>
          <w:sz w:val="18"/>
          <w:szCs w:val="18"/>
          <w:lang w:eastAsia="en-GB"/>
        </w:rPr>
        <w:t>te</w:t>
      </w:r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d at &lt;0.5% in the </w:t>
      </w:r>
      <w:proofErr w:type="spell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cfDNA</w:t>
      </w:r>
      <w:proofErr w:type="spellEnd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 below the threshold set for evidence of </w:t>
      </w:r>
      <w:proofErr w:type="spellStart"/>
      <w:r w:rsidRPr="005054FA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ctDNA</w:t>
      </w:r>
      <w:proofErr w:type="spellEnd"/>
      <w:r w:rsidR="00954737">
        <w:rPr>
          <w:rFonts w:ascii="Arial" w:eastAsia="Times New Roman" w:hAnsi="Arial" w:cs="Arial"/>
          <w:color w:val="000000"/>
          <w:sz w:val="18"/>
          <w:szCs w:val="18"/>
          <w:lang w:eastAsia="en-GB"/>
        </w:rPr>
        <w:t>.</w:t>
      </w:r>
    </w:p>
    <w:p w:rsidR="009D02A3" w:rsidRPr="009D02A3" w:rsidRDefault="009D02A3" w:rsidP="007C2A0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en-GB"/>
        </w:rPr>
        <w:sectPr w:rsidR="009D02A3" w:rsidRPr="009D02A3" w:rsidSect="007C2A01">
          <w:pgSz w:w="16838" w:h="11906" w:orient="landscape"/>
          <w:pgMar w:top="1440" w:right="1361" w:bottom="1440" w:left="1361" w:header="709" w:footer="709" w:gutter="0"/>
          <w:cols w:space="708"/>
          <w:docGrid w:linePitch="360"/>
        </w:sectPr>
      </w:pPr>
    </w:p>
    <w:p w:rsidR="00832B98" w:rsidRPr="00DA4F0D" w:rsidRDefault="00832B98" w:rsidP="00832B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4F0D">
        <w:rPr>
          <w:rFonts w:ascii="Arial" w:hAnsi="Arial" w:cs="Arial"/>
          <w:b/>
          <w:sz w:val="20"/>
          <w:szCs w:val="20"/>
        </w:rPr>
        <w:lastRenderedPageBreak/>
        <w:t xml:space="preserve">Table </w:t>
      </w:r>
      <w:r>
        <w:rPr>
          <w:rFonts w:ascii="Arial" w:hAnsi="Arial" w:cs="Arial"/>
          <w:b/>
          <w:sz w:val="20"/>
          <w:szCs w:val="20"/>
        </w:rPr>
        <w:t>S6</w:t>
      </w:r>
      <w:r w:rsidRPr="00DA4F0D">
        <w:rPr>
          <w:rFonts w:ascii="Arial" w:hAnsi="Arial" w:cs="Arial"/>
          <w:b/>
          <w:sz w:val="20"/>
          <w:szCs w:val="20"/>
        </w:rPr>
        <w:t>: Patient enrolment criteria.</w:t>
      </w:r>
    </w:p>
    <w:p w:rsidR="00832B98" w:rsidRPr="00DA4F0D" w:rsidRDefault="00832B98" w:rsidP="00832B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419" w:type="dxa"/>
        <w:tblLayout w:type="fixed"/>
        <w:tblLook w:val="04A0"/>
      </w:tblPr>
      <w:tblGrid>
        <w:gridCol w:w="3510"/>
        <w:gridCol w:w="4909"/>
      </w:tblGrid>
      <w:tr w:rsidR="00832B98" w:rsidRPr="00DA4F0D" w:rsidTr="00FE49DF">
        <w:trPr>
          <w:trHeight w:val="541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32B98" w:rsidRDefault="00832B98" w:rsidP="00FE49D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832B98" w:rsidRPr="00DA4F0D" w:rsidRDefault="00832B98" w:rsidP="00FE49D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A4F0D">
              <w:rPr>
                <w:rFonts w:ascii="Arial" w:eastAsia="Calibri" w:hAnsi="Arial" w:cs="Arial"/>
                <w:sz w:val="18"/>
                <w:szCs w:val="18"/>
              </w:rPr>
              <w:t>Inclusion Criteria</w:t>
            </w:r>
          </w:p>
        </w:tc>
        <w:tc>
          <w:tcPr>
            <w:tcW w:w="4909" w:type="dxa"/>
            <w:shd w:val="clear" w:color="auto" w:fill="D9D9D9" w:themeFill="background1" w:themeFillShade="D9"/>
            <w:vAlign w:val="center"/>
          </w:tcPr>
          <w:p w:rsidR="00832B98" w:rsidRDefault="00832B98" w:rsidP="00FE49D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832B98" w:rsidRPr="00DA4F0D" w:rsidRDefault="00832B98" w:rsidP="00FE49D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A4F0D">
              <w:rPr>
                <w:rFonts w:ascii="Arial" w:eastAsia="Calibri" w:hAnsi="Arial" w:cs="Arial"/>
                <w:sz w:val="18"/>
                <w:szCs w:val="18"/>
              </w:rPr>
              <w:t>Exclusion Criteria</w:t>
            </w:r>
          </w:p>
        </w:tc>
      </w:tr>
      <w:tr w:rsidR="00832B98" w:rsidRPr="00DA4F0D" w:rsidTr="00FE49DF">
        <w:trPr>
          <w:trHeight w:val="283"/>
        </w:trPr>
        <w:tc>
          <w:tcPr>
            <w:tcW w:w="3510" w:type="dxa"/>
            <w:vAlign w:val="bottom"/>
          </w:tcPr>
          <w:p w:rsidR="00832B98" w:rsidRPr="00DA4F0D" w:rsidRDefault="00832B98" w:rsidP="00FE49D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Patients with non-metastatic biopsy proven STS</w:t>
            </w:r>
          </w:p>
        </w:tc>
        <w:tc>
          <w:tcPr>
            <w:tcW w:w="4909" w:type="dxa"/>
            <w:vAlign w:val="center"/>
          </w:tcPr>
          <w:p w:rsidR="00832B98" w:rsidRPr="00DA4F0D" w:rsidRDefault="00832B98" w:rsidP="00FE49DF">
            <w:pPr>
              <w:spacing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Patients presenting with local or distant STS recurrence</w:t>
            </w:r>
          </w:p>
        </w:tc>
      </w:tr>
      <w:tr w:rsidR="00832B98" w:rsidRPr="00DA4F0D" w:rsidTr="00FE49DF">
        <w:trPr>
          <w:trHeight w:val="283"/>
        </w:trPr>
        <w:tc>
          <w:tcPr>
            <w:tcW w:w="3510" w:type="dxa"/>
            <w:vAlign w:val="center"/>
          </w:tcPr>
          <w:p w:rsidR="00832B98" w:rsidRPr="00DA4F0D" w:rsidRDefault="00832B98" w:rsidP="00FE49DF">
            <w:pPr>
              <w:autoSpaceDE w:val="0"/>
              <w:autoSpaceDN w:val="0"/>
              <w:adjustRightInd w:val="0"/>
              <w:spacing w:afterLines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Patients undergoing attempted curative surgical resection (+/adjuvant therapy)</w:t>
            </w:r>
          </w:p>
        </w:tc>
        <w:tc>
          <w:tcPr>
            <w:tcW w:w="4909" w:type="dxa"/>
            <w:vAlign w:val="center"/>
          </w:tcPr>
          <w:p w:rsidR="00832B98" w:rsidRPr="00DA4F0D" w:rsidRDefault="00832B98" w:rsidP="00FE49DF">
            <w:pPr>
              <w:autoSpaceDE w:val="0"/>
              <w:autoSpaceDN w:val="0"/>
              <w:adjustRightInd w:val="0"/>
              <w:spacing w:afterLines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Patients with retroperitoneal STS</w:t>
            </w:r>
          </w:p>
        </w:tc>
      </w:tr>
      <w:tr w:rsidR="00832B98" w:rsidRPr="00DA4F0D" w:rsidTr="00FE49DF">
        <w:trPr>
          <w:trHeight w:val="283"/>
        </w:trPr>
        <w:tc>
          <w:tcPr>
            <w:tcW w:w="3510" w:type="dxa"/>
            <w:vMerge w:val="restart"/>
            <w:vAlign w:val="center"/>
          </w:tcPr>
          <w:p w:rsidR="00832B98" w:rsidRPr="00DA4F0D" w:rsidRDefault="00832B98" w:rsidP="00FE49DF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 management and follow up planned under the remit of the East Midlands Sarcoma Service</w:t>
            </w:r>
          </w:p>
        </w:tc>
        <w:tc>
          <w:tcPr>
            <w:tcW w:w="4909" w:type="dxa"/>
            <w:vAlign w:val="center"/>
          </w:tcPr>
          <w:p w:rsidR="00832B98" w:rsidRPr="00DA4F0D" w:rsidRDefault="00832B98" w:rsidP="00FE4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Patients unable to provide informed consent</w:t>
            </w:r>
          </w:p>
        </w:tc>
      </w:tr>
      <w:tr w:rsidR="00832B98" w:rsidRPr="00DA4F0D" w:rsidTr="00FE49DF">
        <w:trPr>
          <w:trHeight w:val="283"/>
        </w:trPr>
        <w:tc>
          <w:tcPr>
            <w:tcW w:w="3510" w:type="dxa"/>
            <w:vMerge/>
            <w:vAlign w:val="center"/>
          </w:tcPr>
          <w:p w:rsidR="00832B98" w:rsidRPr="00DA4F0D" w:rsidRDefault="00832B98" w:rsidP="00FE49DF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909" w:type="dxa"/>
            <w:vAlign w:val="center"/>
          </w:tcPr>
          <w:p w:rsidR="00832B98" w:rsidRPr="00DA4F0D" w:rsidRDefault="00832B98" w:rsidP="00FE49DF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A4F0D">
              <w:rPr>
                <w:rFonts w:ascii="Arial" w:hAnsi="Arial" w:cs="Arial"/>
                <w:sz w:val="18"/>
                <w:szCs w:val="18"/>
              </w:rPr>
              <w:t>Patients aged under 18</w:t>
            </w:r>
          </w:p>
        </w:tc>
      </w:tr>
    </w:tbl>
    <w:p w:rsidR="00832B98" w:rsidRPr="00DA4F0D" w:rsidRDefault="00832B98" w:rsidP="00832B98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832B98" w:rsidRPr="00DA4F0D" w:rsidRDefault="00832B98" w:rsidP="00832B9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DA4F0D">
        <w:rPr>
          <w:rFonts w:ascii="Arial" w:hAnsi="Arial" w:cs="Arial"/>
          <w:sz w:val="18"/>
          <w:szCs w:val="18"/>
        </w:rPr>
        <w:t>Enrolled patients were removed from the project when they 1) developed disease recurrence, 2) were lost to follow up or 3) voluntarily withdrew.</w:t>
      </w:r>
    </w:p>
    <w:p w:rsidR="00832B98" w:rsidRPr="00DA4F0D" w:rsidRDefault="00832B98" w:rsidP="00832B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4737" w:rsidRPr="005054FA" w:rsidRDefault="00954737">
      <w:pPr>
        <w:spacing w:after="200" w:line="276" w:lineRule="auto"/>
        <w:jc w:val="both"/>
        <w:rPr>
          <w:rFonts w:ascii="Arial" w:hAnsi="Arial" w:cs="Arial"/>
          <w:sz w:val="18"/>
          <w:szCs w:val="18"/>
        </w:rPr>
      </w:pPr>
    </w:p>
    <w:sectPr w:rsidR="00954737" w:rsidRPr="005054FA" w:rsidSect="007C2A01">
      <w:pgSz w:w="11906" w:h="16838"/>
      <w:pgMar w:top="1361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2A3" w:rsidRDefault="009D02A3" w:rsidP="005054FA">
      <w:pPr>
        <w:spacing w:after="0" w:line="240" w:lineRule="auto"/>
      </w:pPr>
      <w:r>
        <w:separator/>
      </w:r>
    </w:p>
  </w:endnote>
  <w:endnote w:type="continuationSeparator" w:id="1">
    <w:p w:rsidR="009D02A3" w:rsidRDefault="009D02A3" w:rsidP="005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825442665"/>
      <w:docPartObj>
        <w:docPartGallery w:val="Page Numbers (Bottom of Page)"/>
        <w:docPartUnique/>
      </w:docPartObj>
    </w:sdtPr>
    <w:sdtContent>
      <w:p w:rsidR="009D02A3" w:rsidRDefault="009D02A3" w:rsidP="009D02A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9D02A3" w:rsidRDefault="009D02A3" w:rsidP="0095473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188352384"/>
      <w:docPartObj>
        <w:docPartGallery w:val="Page Numbers (Bottom of Page)"/>
        <w:docPartUnique/>
      </w:docPartObj>
    </w:sdtPr>
    <w:sdtContent>
      <w:p w:rsidR="009D02A3" w:rsidRDefault="009D02A3" w:rsidP="009D02A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F96EDE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9D02A3" w:rsidRDefault="009D02A3" w:rsidP="009547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2A3" w:rsidRDefault="009D02A3" w:rsidP="005054FA">
      <w:pPr>
        <w:spacing w:after="0" w:line="240" w:lineRule="auto"/>
      </w:pPr>
      <w:r>
        <w:separator/>
      </w:r>
    </w:p>
  </w:footnote>
  <w:footnote w:type="continuationSeparator" w:id="1">
    <w:p w:rsidR="009D02A3" w:rsidRDefault="009D02A3" w:rsidP="00505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0791A"/>
    <w:multiLevelType w:val="hybridMultilevel"/>
    <w:tmpl w:val="67C09C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yle, Nicola J. (Dr.)">
    <w15:presenceInfo w15:providerId="AD" w15:userId="S::njr@leicester.ac.uk::2ae60f98-558a-41e1-bb1a-ab6cc16a814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2E0F"/>
    <w:rsid w:val="00007591"/>
    <w:rsid w:val="00010B94"/>
    <w:rsid w:val="00072DDB"/>
    <w:rsid w:val="00094FBF"/>
    <w:rsid w:val="00095B1C"/>
    <w:rsid w:val="000A51C5"/>
    <w:rsid w:val="000B43C9"/>
    <w:rsid w:val="000C0D0B"/>
    <w:rsid w:val="000C1B53"/>
    <w:rsid w:val="000C3BE9"/>
    <w:rsid w:val="000D0911"/>
    <w:rsid w:val="000D3163"/>
    <w:rsid w:val="000F0557"/>
    <w:rsid w:val="000F2C00"/>
    <w:rsid w:val="001230A4"/>
    <w:rsid w:val="0016131D"/>
    <w:rsid w:val="00161EEA"/>
    <w:rsid w:val="0017057F"/>
    <w:rsid w:val="0017260D"/>
    <w:rsid w:val="00193944"/>
    <w:rsid w:val="001A5A38"/>
    <w:rsid w:val="001B37E3"/>
    <w:rsid w:val="001E0E1C"/>
    <w:rsid w:val="001F145C"/>
    <w:rsid w:val="002253E0"/>
    <w:rsid w:val="00244895"/>
    <w:rsid w:val="0027020E"/>
    <w:rsid w:val="00276DF9"/>
    <w:rsid w:val="00293C10"/>
    <w:rsid w:val="002A04A3"/>
    <w:rsid w:val="002A3A3F"/>
    <w:rsid w:val="002B3026"/>
    <w:rsid w:val="002B5741"/>
    <w:rsid w:val="002D018E"/>
    <w:rsid w:val="00342775"/>
    <w:rsid w:val="00353676"/>
    <w:rsid w:val="0035658A"/>
    <w:rsid w:val="003757CE"/>
    <w:rsid w:val="00382217"/>
    <w:rsid w:val="003919D7"/>
    <w:rsid w:val="00397729"/>
    <w:rsid w:val="003B1387"/>
    <w:rsid w:val="003D4F74"/>
    <w:rsid w:val="00464C76"/>
    <w:rsid w:val="0046536C"/>
    <w:rsid w:val="004724CD"/>
    <w:rsid w:val="00485F0E"/>
    <w:rsid w:val="004A5C13"/>
    <w:rsid w:val="004C0C2C"/>
    <w:rsid w:val="004F1995"/>
    <w:rsid w:val="004F1D53"/>
    <w:rsid w:val="004F6BE8"/>
    <w:rsid w:val="005054FA"/>
    <w:rsid w:val="0053385D"/>
    <w:rsid w:val="00554EB4"/>
    <w:rsid w:val="00597C1B"/>
    <w:rsid w:val="005A1F3B"/>
    <w:rsid w:val="005A38FF"/>
    <w:rsid w:val="005B078B"/>
    <w:rsid w:val="005B5A6C"/>
    <w:rsid w:val="005C13BC"/>
    <w:rsid w:val="005D7390"/>
    <w:rsid w:val="005F4E69"/>
    <w:rsid w:val="005F7DBC"/>
    <w:rsid w:val="0062714A"/>
    <w:rsid w:val="006303FE"/>
    <w:rsid w:val="00655C5C"/>
    <w:rsid w:val="00673F93"/>
    <w:rsid w:val="00680026"/>
    <w:rsid w:val="006B0102"/>
    <w:rsid w:val="006C14B2"/>
    <w:rsid w:val="006C6DBE"/>
    <w:rsid w:val="0070684A"/>
    <w:rsid w:val="00712106"/>
    <w:rsid w:val="00715A23"/>
    <w:rsid w:val="00770686"/>
    <w:rsid w:val="0079063A"/>
    <w:rsid w:val="007919C2"/>
    <w:rsid w:val="007A54B9"/>
    <w:rsid w:val="007C1ACB"/>
    <w:rsid w:val="007C2A01"/>
    <w:rsid w:val="007E29D7"/>
    <w:rsid w:val="00832B98"/>
    <w:rsid w:val="008404D0"/>
    <w:rsid w:val="0084222A"/>
    <w:rsid w:val="0086465F"/>
    <w:rsid w:val="008A4BD9"/>
    <w:rsid w:val="008A6961"/>
    <w:rsid w:val="008E60BF"/>
    <w:rsid w:val="008E7757"/>
    <w:rsid w:val="008E7815"/>
    <w:rsid w:val="00911E60"/>
    <w:rsid w:val="0091470D"/>
    <w:rsid w:val="009167C1"/>
    <w:rsid w:val="00920185"/>
    <w:rsid w:val="00921E56"/>
    <w:rsid w:val="00931068"/>
    <w:rsid w:val="00933AEA"/>
    <w:rsid w:val="009470F7"/>
    <w:rsid w:val="00954737"/>
    <w:rsid w:val="009815AF"/>
    <w:rsid w:val="009A1D56"/>
    <w:rsid w:val="009B2E0F"/>
    <w:rsid w:val="009C1CC1"/>
    <w:rsid w:val="009D02A3"/>
    <w:rsid w:val="009D3EA4"/>
    <w:rsid w:val="00A00A4F"/>
    <w:rsid w:val="00A42244"/>
    <w:rsid w:val="00A62338"/>
    <w:rsid w:val="00A64010"/>
    <w:rsid w:val="00A75EE2"/>
    <w:rsid w:val="00A97574"/>
    <w:rsid w:val="00AA0FCC"/>
    <w:rsid w:val="00AB20D2"/>
    <w:rsid w:val="00AD3182"/>
    <w:rsid w:val="00B16F44"/>
    <w:rsid w:val="00B37B41"/>
    <w:rsid w:val="00B5292D"/>
    <w:rsid w:val="00B83026"/>
    <w:rsid w:val="00BB0C93"/>
    <w:rsid w:val="00BB2D4E"/>
    <w:rsid w:val="00BC652A"/>
    <w:rsid w:val="00BD3EDD"/>
    <w:rsid w:val="00BE1106"/>
    <w:rsid w:val="00BE7A11"/>
    <w:rsid w:val="00C16793"/>
    <w:rsid w:val="00C7716C"/>
    <w:rsid w:val="00CD02CF"/>
    <w:rsid w:val="00CD42C5"/>
    <w:rsid w:val="00CF2917"/>
    <w:rsid w:val="00CF6468"/>
    <w:rsid w:val="00D063DA"/>
    <w:rsid w:val="00D06D72"/>
    <w:rsid w:val="00D557F3"/>
    <w:rsid w:val="00D62052"/>
    <w:rsid w:val="00D8216C"/>
    <w:rsid w:val="00DA4F0D"/>
    <w:rsid w:val="00DF0438"/>
    <w:rsid w:val="00DF2822"/>
    <w:rsid w:val="00E43019"/>
    <w:rsid w:val="00E4707C"/>
    <w:rsid w:val="00E64A77"/>
    <w:rsid w:val="00E91F59"/>
    <w:rsid w:val="00EA0311"/>
    <w:rsid w:val="00EA082F"/>
    <w:rsid w:val="00ED4A52"/>
    <w:rsid w:val="00EF49F8"/>
    <w:rsid w:val="00F07309"/>
    <w:rsid w:val="00F22489"/>
    <w:rsid w:val="00F32590"/>
    <w:rsid w:val="00F33721"/>
    <w:rsid w:val="00F5175C"/>
    <w:rsid w:val="00F807E3"/>
    <w:rsid w:val="00F9231E"/>
    <w:rsid w:val="00F9645C"/>
    <w:rsid w:val="00F96EDE"/>
    <w:rsid w:val="00FB7A0E"/>
    <w:rsid w:val="00FE0987"/>
    <w:rsid w:val="00FE0A63"/>
    <w:rsid w:val="00FF0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81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7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E78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815"/>
    <w:rPr>
      <w:rFonts w:ascii="Tahoma" w:hAnsi="Tahoma" w:cs="Tahoma"/>
      <w:sz w:val="16"/>
      <w:szCs w:val="16"/>
    </w:rPr>
  </w:style>
  <w:style w:type="table" w:customStyle="1" w:styleId="TableGrid2">
    <w:name w:val="Table Grid2"/>
    <w:basedOn w:val="TableNormal"/>
    <w:uiPriority w:val="39"/>
    <w:rsid w:val="008E7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uiPriority w:val="39"/>
    <w:rsid w:val="008E7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E7815"/>
    <w:rPr>
      <w:b/>
      <w:bCs/>
    </w:rPr>
  </w:style>
  <w:style w:type="paragraph" w:styleId="ListParagraph">
    <w:name w:val="List Paragraph"/>
    <w:basedOn w:val="Normal"/>
    <w:uiPriority w:val="34"/>
    <w:qFormat/>
    <w:rsid w:val="00554EB4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01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1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1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10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42775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54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4FA"/>
  </w:style>
  <w:style w:type="paragraph" w:styleId="Footer">
    <w:name w:val="footer"/>
    <w:basedOn w:val="Normal"/>
    <w:link w:val="FooterChar"/>
    <w:uiPriority w:val="99"/>
    <w:unhideWhenUsed/>
    <w:rsid w:val="005054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4FA"/>
  </w:style>
  <w:style w:type="paragraph" w:styleId="Revision">
    <w:name w:val="Revision"/>
    <w:hidden/>
    <w:uiPriority w:val="99"/>
    <w:semiHidden/>
    <w:rsid w:val="007C2A01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954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4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9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4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13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0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mapview/" TargetMode="External"/><Relationship Id="rId13" Type="http://schemas.openxmlformats.org/officeDocument/2006/relationships/hyperlink" Target="https://www.google.co.uk/search?dcr=0&amp;q=Li%C3%A8ge+Belgium&amp;stick=H4sIAAAAAAAAAOPgE-LSz9U3SM9NLjKoUuIAsVNMso20tLKTrfTzi9IT8zKrEksy8_NQOFYZqYkphaWJRSWpRcUAOLXB9kQAAAA&amp;sa=X&amp;ved=0ahUKEwiQ6eybqZ7aAhWGLsAKHSaGAjIQmxMImAEoATA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dtdna.com/calc/analyze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ogle.co.uk/search?dcr=0&amp;q=Hercules+California&amp;stick=H4sIAAAAAAAAAOPgE-LSz9U3MC4wzDVPUeIAsQsrCwu1tLKTrfTzi9IT8zKrEksy8_NQOFYZqYkphaWJRSWpRcUALCJywkQAAAA&amp;sa=X&amp;ved=0ahUKEwig4vmlqJ7aAhWEjKQKHbX7DSYQmxMI4AEoATA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nome.ucsc.edu/cgi-bin/hgP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primer3.ut.ee/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blast.ncbi.nlm.nih.gov/Blast.cg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235EF-5ABF-4A67-B178-EF3DA94D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2872</Words>
  <Characters>16376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Eastley, Nicholas</dc:creator>
  <cp:lastModifiedBy>Nicholas Eastley</cp:lastModifiedBy>
  <cp:revision>6</cp:revision>
  <cp:lastPrinted>2020-04-22T16:21:00Z</cp:lastPrinted>
  <dcterms:created xsi:type="dcterms:W3CDTF">2020-06-23T10:02:00Z</dcterms:created>
  <dcterms:modified xsi:type="dcterms:W3CDTF">2020-06-23T11:49:00Z</dcterms:modified>
</cp:coreProperties>
</file>