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51A6" w14:textId="77777777" w:rsidR="00552C05" w:rsidRPr="00784FBB" w:rsidRDefault="00552C05" w:rsidP="00784FBB">
      <w:pPr>
        <w:spacing w:after="120" w:line="240" w:lineRule="auto"/>
        <w:rPr>
          <w:rFonts w:ascii="Palatino Linotype" w:hAnsi="Palatino Linotype"/>
          <w:b/>
          <w:color w:val="auto"/>
          <w:sz w:val="36"/>
          <w:szCs w:val="36"/>
        </w:rPr>
      </w:pPr>
      <w:r w:rsidRPr="00784FBB">
        <w:rPr>
          <w:rFonts w:ascii="Palatino Linotype" w:hAnsi="Palatino Linotype"/>
          <w:b/>
          <w:color w:val="auto"/>
          <w:sz w:val="36"/>
          <w:szCs w:val="36"/>
        </w:rPr>
        <w:t xml:space="preserve">Small extracellular vesicles isolated from serum </w:t>
      </w:r>
      <w:r w:rsidR="003E6C38" w:rsidRPr="00784FBB">
        <w:rPr>
          <w:rFonts w:ascii="Palatino Linotype" w:hAnsi="Palatino Linotype"/>
          <w:b/>
          <w:color w:val="auto"/>
          <w:sz w:val="36"/>
          <w:szCs w:val="36"/>
        </w:rPr>
        <w:t xml:space="preserve">may serve </w:t>
      </w:r>
      <w:r w:rsidRPr="00784FBB">
        <w:rPr>
          <w:rFonts w:ascii="Palatino Linotype" w:hAnsi="Palatino Linotype"/>
          <w:b/>
          <w:color w:val="auto"/>
          <w:sz w:val="36"/>
          <w:szCs w:val="36"/>
        </w:rPr>
        <w:t xml:space="preserve">as signal-enhancers </w:t>
      </w:r>
      <w:r w:rsidR="003E6C38" w:rsidRPr="00784FBB">
        <w:rPr>
          <w:rFonts w:ascii="Palatino Linotype" w:hAnsi="Palatino Linotype"/>
          <w:b/>
          <w:color w:val="auto"/>
          <w:sz w:val="36"/>
          <w:szCs w:val="36"/>
        </w:rPr>
        <w:t>for</w:t>
      </w:r>
      <w:r w:rsidRPr="00784FBB">
        <w:rPr>
          <w:rFonts w:ascii="Palatino Linotype" w:hAnsi="Palatino Linotype"/>
          <w:b/>
          <w:color w:val="auto"/>
          <w:sz w:val="36"/>
          <w:szCs w:val="36"/>
        </w:rPr>
        <w:t xml:space="preserve"> the monitoring of CNS tumors</w:t>
      </w:r>
    </w:p>
    <w:p w14:paraId="2E343F7F" w14:textId="77777777" w:rsidR="00552C05" w:rsidRPr="00784FBB" w:rsidRDefault="00552C05" w:rsidP="00784FBB">
      <w:pPr>
        <w:spacing w:after="120" w:line="240" w:lineRule="auto"/>
        <w:rPr>
          <w:rFonts w:ascii="Palatino Linotype" w:hAnsi="Palatino Linotype"/>
          <w:color w:val="auto"/>
          <w:sz w:val="20"/>
        </w:rPr>
      </w:pPr>
      <w:r w:rsidRPr="00784FBB">
        <w:rPr>
          <w:rFonts w:ascii="Palatino Linotype" w:hAnsi="Palatino Linotype"/>
          <w:color w:val="auto"/>
          <w:sz w:val="20"/>
        </w:rPr>
        <w:t xml:space="preserve">Gabriella Dobra, Matyas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Bukva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Zoltan Szabo, Bella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Bruszel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Maria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Harmati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Edina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Gyukity-Sebestyen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Adrienn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Jenei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Monika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Szucs</w:t>
      </w:r>
      <w:proofErr w:type="spellEnd"/>
      <w:r w:rsidRPr="00784FBB">
        <w:rPr>
          <w:rFonts w:ascii="Palatino Linotype" w:hAnsi="Palatino Linotype"/>
          <w:color w:val="auto"/>
          <w:sz w:val="20"/>
        </w:rPr>
        <w:t>,</w:t>
      </w:r>
      <w:r w:rsidR="00B11CFE" w:rsidRPr="00784FBB">
        <w:rPr>
          <w:rFonts w:ascii="Palatino Linotype" w:hAnsi="Palatino Linotype"/>
          <w:color w:val="auto"/>
          <w:sz w:val="20"/>
        </w:rPr>
        <w:t xml:space="preserve"> Peter Horvath,</w:t>
      </w:r>
      <w:r w:rsidRPr="00784FBB">
        <w:rPr>
          <w:rFonts w:ascii="Palatino Linotype" w:hAnsi="Palatino Linotype"/>
          <w:color w:val="auto"/>
          <w:sz w:val="20"/>
        </w:rPr>
        <w:t xml:space="preserve"> Tamas Biro,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Almos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Klekner</w:t>
      </w:r>
      <w:proofErr w:type="spellEnd"/>
      <w:r w:rsidRPr="00784FBB">
        <w:rPr>
          <w:rFonts w:ascii="Palatino Linotype" w:hAnsi="Palatino Linotype"/>
          <w:color w:val="auto"/>
          <w:sz w:val="20"/>
        </w:rPr>
        <w:t xml:space="preserve">, Krisztina </w:t>
      </w:r>
      <w:proofErr w:type="spellStart"/>
      <w:r w:rsidRPr="00784FBB">
        <w:rPr>
          <w:rFonts w:ascii="Palatino Linotype" w:hAnsi="Palatino Linotype"/>
          <w:color w:val="auto"/>
          <w:sz w:val="20"/>
        </w:rPr>
        <w:t>Buzas</w:t>
      </w:r>
      <w:proofErr w:type="spellEnd"/>
    </w:p>
    <w:p w14:paraId="2574BE16" w14:textId="77777777" w:rsidR="00552C05" w:rsidRPr="00784FBB" w:rsidRDefault="00552C05" w:rsidP="00784FBB">
      <w:pPr>
        <w:spacing w:after="120" w:line="240" w:lineRule="auto"/>
        <w:rPr>
          <w:rFonts w:ascii="Palatino Linotype" w:hAnsi="Palatino Linotype"/>
          <w:b/>
          <w:color w:val="auto"/>
          <w:sz w:val="20"/>
        </w:rPr>
      </w:pPr>
    </w:p>
    <w:p w14:paraId="0AAD0865" w14:textId="77777777" w:rsidR="00C44B40" w:rsidRPr="00784FBB" w:rsidRDefault="00CC65BF" w:rsidP="00784FBB">
      <w:pPr>
        <w:spacing w:after="120" w:line="240" w:lineRule="auto"/>
        <w:rPr>
          <w:rFonts w:ascii="Palatino Linotype" w:hAnsi="Palatino Linotype"/>
          <w:b/>
          <w:color w:val="auto"/>
          <w:sz w:val="20"/>
        </w:rPr>
      </w:pPr>
      <w:r w:rsidRPr="00784FBB">
        <w:rPr>
          <w:rFonts w:ascii="Palatino Linotype" w:hAnsi="Palatino Linotype"/>
          <w:b/>
          <w:color w:val="auto"/>
          <w:sz w:val="20"/>
        </w:rPr>
        <w:t xml:space="preserve">Supplementary </w:t>
      </w:r>
      <w:r w:rsidR="00831AA8" w:rsidRPr="00784FBB">
        <w:rPr>
          <w:rFonts w:ascii="Palatino Linotype" w:hAnsi="Palatino Linotype"/>
          <w:b/>
          <w:color w:val="auto"/>
          <w:sz w:val="20"/>
        </w:rPr>
        <w:t>materials</w:t>
      </w:r>
    </w:p>
    <w:p w14:paraId="2B27B939" w14:textId="19591C5C" w:rsidR="0015706A" w:rsidRPr="00784FBB" w:rsidRDefault="0015706A" w:rsidP="00784FBB">
      <w:pPr>
        <w:spacing w:after="120" w:line="240" w:lineRule="auto"/>
        <w:rPr>
          <w:rFonts w:ascii="Palatino Linotype" w:hAnsi="Palatino Linotype" w:cs="Calibri"/>
          <w:color w:val="auto"/>
          <w:sz w:val="20"/>
        </w:rPr>
      </w:pPr>
      <w:r w:rsidRPr="00784FBB">
        <w:rPr>
          <w:rFonts w:ascii="Palatino Linotype" w:hAnsi="Palatino Linotype"/>
          <w:b/>
          <w:color w:val="auto"/>
          <w:sz w:val="20"/>
        </w:rPr>
        <w:t>Figure</w:t>
      </w:r>
      <w:r w:rsidR="00784FBB">
        <w:rPr>
          <w:rFonts w:ascii="Palatino Linotype" w:hAnsi="Palatino Linotype"/>
          <w:b/>
          <w:color w:val="auto"/>
          <w:sz w:val="20"/>
        </w:rPr>
        <w:t xml:space="preserve"> </w:t>
      </w:r>
      <w:r w:rsidRPr="00784FBB">
        <w:rPr>
          <w:rFonts w:ascii="Palatino Linotype" w:hAnsi="Palatino Linotype"/>
          <w:b/>
          <w:color w:val="auto"/>
          <w:sz w:val="20"/>
        </w:rPr>
        <w:t>S1</w:t>
      </w:r>
      <w:r w:rsidRPr="00784FBB">
        <w:rPr>
          <w:rFonts w:ascii="Palatino Linotype" w:hAnsi="Palatino Linotype"/>
          <w:color w:val="auto"/>
          <w:sz w:val="20"/>
        </w:rPr>
        <w:t xml:space="preserve"> </w:t>
      </w:r>
      <w:r w:rsidRPr="00784FBB">
        <w:rPr>
          <w:rFonts w:ascii="Palatino Linotype" w:hAnsi="Palatino Linotype"/>
          <w:b/>
          <w:color w:val="auto"/>
          <w:sz w:val="20"/>
        </w:rPr>
        <w:t>Western blot analyses of classical EV markers.</w:t>
      </w:r>
      <w:r w:rsidRPr="00784FBB">
        <w:rPr>
          <w:rFonts w:ascii="Palatino Linotype" w:hAnsi="Palatino Linotype"/>
          <w:color w:val="auto"/>
          <w:sz w:val="20"/>
        </w:rPr>
        <w:t xml:space="preserve"> </w:t>
      </w:r>
      <w:r w:rsidRPr="00784FBB">
        <w:rPr>
          <w:rFonts w:ascii="Palatino Linotype" w:hAnsi="Palatino Linotype" w:cs="Calibri"/>
          <w:color w:val="auto"/>
          <w:sz w:val="20"/>
        </w:rPr>
        <w:t>CD81 as transmembrane protein and Alix as cytosolic protein is showed in all of the four groups to demonstrate the EV nature of isolated nanoparticles.</w:t>
      </w:r>
    </w:p>
    <w:p w14:paraId="2DF991D4" w14:textId="779145CD" w:rsidR="009B4432" w:rsidRPr="00784FBB" w:rsidRDefault="00784FBB" w:rsidP="00784FBB">
      <w:pPr>
        <w:spacing w:after="120" w:line="240" w:lineRule="auto"/>
        <w:rPr>
          <w:rFonts w:ascii="Palatino Linotype" w:hAnsi="Palatino Linotype"/>
          <w:color w:val="auto"/>
          <w:sz w:val="20"/>
        </w:rPr>
      </w:pPr>
      <w:r w:rsidRPr="00784FBB">
        <w:rPr>
          <w:rFonts w:ascii="Palatino Linotype" w:hAnsi="Palatino Linotype"/>
          <w:b/>
          <w:color w:val="auto"/>
          <w:sz w:val="20"/>
        </w:rPr>
        <w:t>Figure</w:t>
      </w:r>
      <w:r>
        <w:rPr>
          <w:rFonts w:ascii="Palatino Linotype" w:hAnsi="Palatino Linotype"/>
          <w:b/>
          <w:color w:val="auto"/>
          <w:sz w:val="20"/>
        </w:rPr>
        <w:t xml:space="preserve"> </w:t>
      </w:r>
      <w:r w:rsidR="0015706A" w:rsidRPr="00784FBB">
        <w:rPr>
          <w:rFonts w:ascii="Palatino Linotype" w:hAnsi="Palatino Linotype"/>
          <w:b/>
          <w:color w:val="auto"/>
          <w:sz w:val="20"/>
        </w:rPr>
        <w:t>S2</w:t>
      </w:r>
      <w:r w:rsidR="0015706A" w:rsidRPr="00784FBB">
        <w:rPr>
          <w:rFonts w:ascii="Palatino Linotype" w:hAnsi="Palatino Linotype"/>
          <w:color w:val="auto"/>
          <w:sz w:val="20"/>
        </w:rPr>
        <w:t xml:space="preserve"> </w:t>
      </w:r>
      <w:r w:rsidR="00C44B40" w:rsidRPr="00784FBB">
        <w:rPr>
          <w:rFonts w:ascii="Palatino Linotype" w:hAnsi="Palatino Linotype"/>
          <w:b/>
          <w:color w:val="auto"/>
          <w:sz w:val="20"/>
        </w:rPr>
        <w:t>Intragroup Coefficients o</w:t>
      </w:r>
      <w:r w:rsidR="009B4432" w:rsidRPr="00784FBB">
        <w:rPr>
          <w:rFonts w:ascii="Palatino Linotype" w:hAnsi="Palatino Linotype"/>
          <w:b/>
          <w:color w:val="auto"/>
          <w:sz w:val="20"/>
        </w:rPr>
        <w:t>f variation (CV) distributions</w:t>
      </w:r>
      <w:r w:rsidR="000D74DF" w:rsidRPr="00784FBB">
        <w:rPr>
          <w:rFonts w:ascii="Palatino Linotype" w:hAnsi="Palatino Linotype"/>
          <w:b/>
          <w:color w:val="auto"/>
          <w:sz w:val="20"/>
        </w:rPr>
        <w:t xml:space="preserve">. </w:t>
      </w:r>
      <w:r w:rsidR="00125A39" w:rsidRPr="00784FBB">
        <w:rPr>
          <w:rFonts w:ascii="Palatino Linotype" w:hAnsi="Palatino Linotype"/>
          <w:color w:val="auto"/>
          <w:sz w:val="20"/>
        </w:rPr>
        <w:t>H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istograms </w:t>
      </w:r>
      <w:r w:rsidR="00125A39" w:rsidRPr="00784FBB">
        <w:rPr>
          <w:rFonts w:ascii="Palatino Linotype" w:hAnsi="Palatino Linotype"/>
          <w:color w:val="auto"/>
          <w:sz w:val="20"/>
        </w:rPr>
        <w:t>demonstrate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 the CV distributions of the protein MS-signal intensities within each group. The x and y axes show the CV values and the frequency of these values, respectively. Comparing the two sample types, it can be concluded that </w:t>
      </w:r>
      <w:proofErr w:type="spellStart"/>
      <w:r w:rsidR="00C44B40" w:rsidRPr="00784FBB">
        <w:rPr>
          <w:rFonts w:ascii="Palatino Linotype" w:hAnsi="Palatino Linotype"/>
          <w:color w:val="auto"/>
          <w:sz w:val="20"/>
        </w:rPr>
        <w:t>sEV</w:t>
      </w:r>
      <w:proofErr w:type="spellEnd"/>
      <w:r w:rsidR="00C44B40" w:rsidRPr="00784FBB">
        <w:rPr>
          <w:rFonts w:ascii="Palatino Linotype" w:hAnsi="Palatino Linotype"/>
          <w:color w:val="auto"/>
          <w:sz w:val="20"/>
        </w:rPr>
        <w:t xml:space="preserve"> isolation did not increase variance within groups.</w:t>
      </w:r>
    </w:p>
    <w:p w14:paraId="5A5C4EDA" w14:textId="11A6B70D" w:rsidR="00C44B40" w:rsidRPr="00784FBB" w:rsidRDefault="00784FBB" w:rsidP="00784FBB">
      <w:pPr>
        <w:spacing w:after="120" w:line="240" w:lineRule="auto"/>
        <w:rPr>
          <w:rFonts w:ascii="Palatino Linotype" w:hAnsi="Palatino Linotype"/>
          <w:color w:val="auto"/>
          <w:sz w:val="20"/>
        </w:rPr>
      </w:pPr>
      <w:r w:rsidRPr="00784FBB">
        <w:rPr>
          <w:rFonts w:ascii="Palatino Linotype" w:hAnsi="Palatino Linotype"/>
          <w:b/>
          <w:color w:val="auto"/>
          <w:sz w:val="20"/>
        </w:rPr>
        <w:t>Figure</w:t>
      </w:r>
      <w:r>
        <w:rPr>
          <w:rFonts w:ascii="Palatino Linotype" w:hAnsi="Palatino Linotype"/>
          <w:b/>
          <w:color w:val="auto"/>
          <w:sz w:val="20"/>
        </w:rPr>
        <w:t xml:space="preserve"> </w:t>
      </w:r>
      <w:r w:rsidR="0015706A" w:rsidRPr="00784FBB">
        <w:rPr>
          <w:rFonts w:ascii="Palatino Linotype" w:hAnsi="Palatino Linotype"/>
          <w:b/>
          <w:color w:val="auto"/>
          <w:sz w:val="20"/>
        </w:rPr>
        <w:t xml:space="preserve">S3 </w:t>
      </w:r>
      <w:r w:rsidR="009B4432" w:rsidRPr="00784FBB">
        <w:rPr>
          <w:rFonts w:ascii="Palatino Linotype" w:hAnsi="Palatino Linotype"/>
          <w:b/>
          <w:color w:val="auto"/>
          <w:sz w:val="20"/>
        </w:rPr>
        <w:t xml:space="preserve">PCA </w:t>
      </w:r>
      <w:proofErr w:type="spellStart"/>
      <w:r w:rsidR="009B4432" w:rsidRPr="00784FBB">
        <w:rPr>
          <w:rFonts w:ascii="Palatino Linotype" w:hAnsi="Palatino Linotype"/>
          <w:b/>
          <w:color w:val="auto"/>
          <w:sz w:val="20"/>
        </w:rPr>
        <w:t>dotplot</w:t>
      </w:r>
      <w:proofErr w:type="spellEnd"/>
      <w:r w:rsidR="009B4432" w:rsidRPr="00784FBB">
        <w:rPr>
          <w:rFonts w:ascii="Palatino Linotype" w:hAnsi="Palatino Linotype"/>
          <w:b/>
          <w:color w:val="auto"/>
          <w:sz w:val="20"/>
        </w:rPr>
        <w:t xml:space="preserve"> constructed after statistical selection based on the means of intensity ratio</w:t>
      </w:r>
      <w:r w:rsidR="000D74DF" w:rsidRPr="00784FBB">
        <w:rPr>
          <w:rFonts w:ascii="Palatino Linotype" w:hAnsi="Palatino Linotype"/>
          <w:b/>
          <w:color w:val="auto"/>
          <w:sz w:val="20"/>
        </w:rPr>
        <w:t>.</w:t>
      </w:r>
      <w:r w:rsidR="000D74DF" w:rsidRPr="00784FBB">
        <w:rPr>
          <w:rFonts w:ascii="Palatino Linotype" w:hAnsi="Palatino Linotype"/>
          <w:color w:val="auto"/>
          <w:sz w:val="20"/>
        </w:rPr>
        <w:t xml:space="preserve"> </w:t>
      </w:r>
      <w:r w:rsidR="009B4432" w:rsidRPr="00784FBB">
        <w:rPr>
          <w:rFonts w:ascii="Palatino Linotype" w:hAnsi="Palatino Linotype"/>
          <w:color w:val="auto"/>
          <w:sz w:val="20"/>
        </w:rPr>
        <w:t xml:space="preserve">Diagrams visualize the results of the PCA analysis and k-means clustering on whole serum samples (left) and </w:t>
      </w:r>
      <w:proofErr w:type="spellStart"/>
      <w:r w:rsidR="009B4432" w:rsidRPr="00784FBB">
        <w:rPr>
          <w:rFonts w:ascii="Palatino Linotype" w:hAnsi="Palatino Linotype"/>
          <w:color w:val="auto"/>
          <w:sz w:val="20"/>
        </w:rPr>
        <w:t>sEV</w:t>
      </w:r>
      <w:proofErr w:type="spellEnd"/>
      <w:r w:rsidR="009B4432" w:rsidRPr="00784FBB">
        <w:rPr>
          <w:rFonts w:ascii="Palatino Linotype" w:hAnsi="Palatino Linotype"/>
          <w:color w:val="auto"/>
          <w:sz w:val="20"/>
        </w:rPr>
        <w:t xml:space="preserve"> samples (right). X and Y axis of PCA biplots show principal component 1 (PC1) and principal component 2 (PC2) with explained variances. Dots with different forms represent the groups. The colors indicate the clusters formed by k-means clustering. 95% confidence ellipses were constructed around the </w:t>
      </w:r>
      <w:proofErr w:type="spellStart"/>
      <w:r w:rsidR="009B4432" w:rsidRPr="00784FBB">
        <w:rPr>
          <w:rFonts w:ascii="Palatino Linotype" w:hAnsi="Palatino Linotype"/>
          <w:color w:val="auto"/>
          <w:sz w:val="20"/>
        </w:rPr>
        <w:t>barycenters</w:t>
      </w:r>
      <w:proofErr w:type="spellEnd"/>
      <w:r w:rsidR="009B4432" w:rsidRPr="00784FBB">
        <w:rPr>
          <w:rFonts w:ascii="Palatino Linotype" w:hAnsi="Palatino Linotype"/>
          <w:color w:val="auto"/>
          <w:sz w:val="20"/>
        </w:rPr>
        <w:t xml:space="preserve"> of the clusters.  Clustering of whole serum samples (left) resulted in a large, inhomogeneous and a single-membered cluster. The homogeneity and completeness scores of the clustering are 0.07 and 0.40, respectively. In the case of EVs (right), k-means clustering formed a homogenous and complete cluster, an inhomogeneous but complete, and two incomplete and inhomogeneous clusters with 0.66 of homogeneity and 0.66 of completeness scores.</w:t>
      </w:r>
    </w:p>
    <w:p w14:paraId="06B25674" w14:textId="77C65922" w:rsidR="00CC65BF" w:rsidRPr="00784FBB" w:rsidRDefault="00560E8C" w:rsidP="00784FBB">
      <w:pPr>
        <w:spacing w:after="120" w:line="240" w:lineRule="auto"/>
        <w:rPr>
          <w:rFonts w:ascii="Palatino Linotype" w:hAnsi="Palatino Linotype"/>
          <w:color w:val="auto"/>
          <w:sz w:val="20"/>
        </w:rPr>
      </w:pPr>
      <w:r w:rsidRPr="00784FBB">
        <w:rPr>
          <w:color w:val="auto"/>
        </w:rPr>
        <w:t xml:space="preserve">Table S1 </w:t>
      </w:r>
      <w:r w:rsidRPr="00784FBB">
        <w:rPr>
          <w:color w:val="auto"/>
        </w:rPr>
        <w:t xml:space="preserve">311 membered protein table of DIA mode constructed spectral library. The proteomic analyses by LC-MS were performed on whole serum samples and </w:t>
      </w:r>
      <w:proofErr w:type="spellStart"/>
      <w:r w:rsidRPr="00784FBB">
        <w:rPr>
          <w:color w:val="auto"/>
        </w:rPr>
        <w:t>sEV</w:t>
      </w:r>
      <w:proofErr w:type="spellEnd"/>
      <w:r w:rsidRPr="00784FBB">
        <w:rPr>
          <w:color w:val="auto"/>
        </w:rPr>
        <w:t xml:space="preserve"> samples from patients with GBM, BM, M and CTRL. 4 pools from the 24-24 membered groups were created, allowing four parallel samples to be tested per group. Table contains the measured intensities, ratio, significance and Cohen’s d effect size of the selected proteins. EV markers (based on literature) and proteins of </w:t>
      </w:r>
      <w:proofErr w:type="spellStart"/>
      <w:r w:rsidRPr="00784FBB">
        <w:rPr>
          <w:color w:val="auto"/>
        </w:rPr>
        <w:t>sEV</w:t>
      </w:r>
      <w:proofErr w:type="spellEnd"/>
      <w:r w:rsidRPr="00784FBB">
        <w:rPr>
          <w:color w:val="auto"/>
        </w:rPr>
        <w:t xml:space="preserve"> and serum panels are marked. Gene Ontology and </w:t>
      </w:r>
      <w:proofErr w:type="spellStart"/>
      <w:r w:rsidRPr="00784FBB">
        <w:rPr>
          <w:color w:val="auto"/>
        </w:rPr>
        <w:t>Uniprot</w:t>
      </w:r>
      <w:proofErr w:type="spellEnd"/>
      <w:r w:rsidRPr="00784FBB">
        <w:rPr>
          <w:color w:val="auto"/>
        </w:rPr>
        <w:t xml:space="preserve"> keyword annotations of each protein are also </w:t>
      </w:r>
      <w:proofErr w:type="spellStart"/>
      <w:proofErr w:type="gramStart"/>
      <w:r w:rsidRPr="00784FBB">
        <w:rPr>
          <w:color w:val="auto"/>
        </w:rPr>
        <w:t>included.</w:t>
      </w:r>
      <w:r w:rsidR="00CC65BF" w:rsidRPr="00784FBB">
        <w:rPr>
          <w:rFonts w:ascii="Palatino Linotype" w:hAnsi="Palatino Linotype"/>
          <w:b/>
          <w:color w:val="auto"/>
          <w:sz w:val="20"/>
        </w:rPr>
        <w:t>Table</w:t>
      </w:r>
      <w:proofErr w:type="spellEnd"/>
      <w:proofErr w:type="gramEnd"/>
      <w:r w:rsidR="00C44B40" w:rsidRPr="00784FBB">
        <w:rPr>
          <w:rFonts w:ascii="Palatino Linotype" w:hAnsi="Palatino Linotype"/>
          <w:b/>
          <w:color w:val="auto"/>
          <w:sz w:val="20"/>
        </w:rPr>
        <w:t> </w:t>
      </w:r>
      <w:r w:rsidRPr="00784FBB">
        <w:rPr>
          <w:rFonts w:ascii="Palatino Linotype" w:hAnsi="Palatino Linotype"/>
          <w:b/>
          <w:color w:val="auto"/>
          <w:sz w:val="20"/>
        </w:rPr>
        <w:t>S2</w:t>
      </w:r>
      <w:r w:rsidRPr="00784FBB">
        <w:rPr>
          <w:rFonts w:ascii="Palatino Linotype" w:hAnsi="Palatino Linotype"/>
          <w:color w:val="auto"/>
          <w:sz w:val="20"/>
        </w:rPr>
        <w:t xml:space="preserve"> </w:t>
      </w:r>
      <w:r w:rsidR="001E4CF0" w:rsidRPr="00784FBB">
        <w:rPr>
          <w:rFonts w:ascii="Palatino Linotype" w:hAnsi="Palatino Linotype"/>
          <w:b/>
          <w:color w:val="auto"/>
          <w:sz w:val="20"/>
        </w:rPr>
        <w:t>Sample correlation matrix</w:t>
      </w:r>
      <w:r w:rsidR="009F6FBF" w:rsidRPr="00784FBB">
        <w:rPr>
          <w:rFonts w:ascii="Palatino Linotype" w:hAnsi="Palatino Linotype"/>
          <w:b/>
          <w:color w:val="auto"/>
          <w:sz w:val="20"/>
        </w:rPr>
        <w:t>.</w:t>
      </w:r>
      <w:r w:rsidR="000D74DF" w:rsidRPr="00784FBB">
        <w:rPr>
          <w:rFonts w:ascii="Palatino Linotype" w:hAnsi="Palatino Linotype"/>
          <w:color w:val="auto"/>
          <w:sz w:val="20"/>
        </w:rPr>
        <w:t xml:space="preserve"> </w:t>
      </w:r>
      <w:r w:rsidR="001E4CF0" w:rsidRPr="00784FBB">
        <w:rPr>
          <w:rFonts w:ascii="Palatino Linotype" w:hAnsi="Palatino Linotype"/>
          <w:color w:val="auto"/>
          <w:sz w:val="20"/>
        </w:rPr>
        <w:t xml:space="preserve">Pearson correlation coefficient matrix </w:t>
      </w:r>
      <w:proofErr w:type="spellStart"/>
      <w:r w:rsidR="00C44B40" w:rsidRPr="00784FBB">
        <w:rPr>
          <w:rFonts w:ascii="Palatino Linotype" w:hAnsi="Palatino Linotype"/>
          <w:color w:val="auto"/>
          <w:sz w:val="20"/>
        </w:rPr>
        <w:t>Matrix</w:t>
      </w:r>
      <w:proofErr w:type="spellEnd"/>
      <w:r w:rsidR="00C44B40" w:rsidRPr="00784FBB">
        <w:rPr>
          <w:rFonts w:ascii="Palatino Linotype" w:hAnsi="Palatino Linotype"/>
          <w:color w:val="auto"/>
          <w:sz w:val="20"/>
        </w:rPr>
        <w:t xml:space="preserve"> was created based </w:t>
      </w:r>
      <w:r w:rsidR="00CC65BF" w:rsidRPr="00784FBB">
        <w:rPr>
          <w:rFonts w:ascii="Palatino Linotype" w:hAnsi="Palatino Linotype"/>
          <w:color w:val="auto"/>
          <w:sz w:val="20"/>
        </w:rPr>
        <w:t>on log</w:t>
      </w:r>
      <w:r w:rsidR="00CC65BF" w:rsidRPr="00784FBB">
        <w:rPr>
          <w:rFonts w:ascii="Palatino Linotype" w:hAnsi="Palatino Linotype"/>
          <w:color w:val="auto"/>
          <w:sz w:val="20"/>
          <w:vertAlign w:val="subscript"/>
        </w:rPr>
        <w:t>2</w:t>
      </w:r>
      <w:r w:rsidR="00CC65BF" w:rsidRPr="00784FBB">
        <w:rPr>
          <w:rFonts w:ascii="Palatino Linotype" w:hAnsi="Palatino Linotype"/>
          <w:color w:val="auto"/>
          <w:sz w:val="20"/>
        </w:rPr>
        <w:t>(intensity) values of all proteins quantified in each sample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. </w:t>
      </w:r>
      <w:r w:rsidR="0067397C" w:rsidRPr="00784FBB">
        <w:rPr>
          <w:rFonts w:ascii="Palatino Linotype" w:hAnsi="Palatino Linotype"/>
          <w:color w:val="auto"/>
          <w:sz w:val="20"/>
        </w:rPr>
        <w:t>Values below R&lt;0.9 cutoff indicate that the sample has to be excluded from further statistical analysis.</w:t>
      </w:r>
    </w:p>
    <w:p w14:paraId="46577703" w14:textId="6CF93F4A" w:rsidR="009F6FBF" w:rsidRPr="00784FBB" w:rsidRDefault="00784FBB" w:rsidP="00784FBB">
      <w:pPr>
        <w:spacing w:after="120" w:line="240" w:lineRule="auto"/>
      </w:pPr>
      <w:r w:rsidRPr="00784FBB">
        <w:rPr>
          <w:rFonts w:ascii="Palatino Linotype" w:hAnsi="Palatino Linotype"/>
          <w:b/>
          <w:color w:val="auto"/>
          <w:sz w:val="20"/>
        </w:rPr>
        <w:t>Table</w:t>
      </w:r>
      <w:r>
        <w:rPr>
          <w:rFonts w:ascii="Palatino Linotype" w:hAnsi="Palatino Linotype"/>
          <w:b/>
          <w:color w:val="auto"/>
          <w:sz w:val="20"/>
        </w:rPr>
        <w:t xml:space="preserve"> </w:t>
      </w:r>
      <w:r w:rsidR="00560E8C" w:rsidRPr="00784FBB">
        <w:rPr>
          <w:rFonts w:ascii="Palatino Linotype" w:hAnsi="Palatino Linotype"/>
          <w:b/>
          <w:color w:val="auto"/>
          <w:sz w:val="20"/>
        </w:rPr>
        <w:t>S3</w:t>
      </w:r>
      <w:r w:rsidR="00560E8C" w:rsidRPr="00784FBB">
        <w:rPr>
          <w:rFonts w:ascii="Palatino Linotype" w:hAnsi="Palatino Linotype"/>
          <w:color w:val="auto"/>
          <w:sz w:val="20"/>
        </w:rPr>
        <w:t xml:space="preserve"> </w:t>
      </w:r>
      <w:r w:rsidR="00CC65BF" w:rsidRPr="00784FBB">
        <w:rPr>
          <w:rFonts w:ascii="Palatino Linotype" w:hAnsi="Palatino Linotype"/>
          <w:b/>
          <w:color w:val="auto"/>
          <w:sz w:val="20"/>
        </w:rPr>
        <w:t>List of the selected proteins</w:t>
      </w:r>
      <w:r w:rsidR="000D74DF" w:rsidRPr="00784FBB">
        <w:rPr>
          <w:rFonts w:ascii="Palatino Linotype" w:hAnsi="Palatino Linotype"/>
          <w:b/>
          <w:color w:val="auto"/>
          <w:sz w:val="20"/>
        </w:rPr>
        <w:t xml:space="preserve">. </w:t>
      </w:r>
      <w:r w:rsidR="00125A39" w:rsidRPr="00784FBB">
        <w:rPr>
          <w:rFonts w:ascii="Palatino Linotype" w:hAnsi="Palatino Linotype"/>
          <w:color w:val="auto"/>
          <w:sz w:val="20"/>
        </w:rPr>
        <w:t xml:space="preserve">Table shows the </w:t>
      </w:r>
      <w:proofErr w:type="spellStart"/>
      <w:r w:rsidR="00C44B40" w:rsidRPr="00784FBB">
        <w:rPr>
          <w:rFonts w:ascii="Palatino Linotype" w:hAnsi="Palatino Linotype"/>
          <w:color w:val="auto"/>
          <w:sz w:val="20"/>
        </w:rPr>
        <w:t>UniProt</w:t>
      </w:r>
      <w:proofErr w:type="spellEnd"/>
      <w:r w:rsidR="00C44B40" w:rsidRPr="00784FBB">
        <w:rPr>
          <w:rFonts w:ascii="Palatino Linotype" w:hAnsi="Palatino Linotype"/>
          <w:color w:val="auto"/>
          <w:sz w:val="20"/>
        </w:rPr>
        <w:t xml:space="preserve"> ID, Gene symbol,</w:t>
      </w:r>
      <w:r w:rsidR="009B4432" w:rsidRPr="00784FBB">
        <w:rPr>
          <w:color w:val="auto"/>
        </w:rPr>
        <w:t xml:space="preserve"> </w:t>
      </w:r>
      <w:r w:rsidR="009B4432" w:rsidRPr="00784FBB">
        <w:rPr>
          <w:rFonts w:ascii="Palatino Linotype" w:hAnsi="Palatino Linotype"/>
          <w:color w:val="auto"/>
          <w:sz w:val="20"/>
        </w:rPr>
        <w:t>Protein name,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 ratio of intensity means &gt; 2; &lt; 0.5 and Cohen’s d effect size &gt; 2 parameters of the</w:t>
      </w:r>
      <w:r w:rsidR="00125A39" w:rsidRPr="00784FBB">
        <w:rPr>
          <w:rFonts w:ascii="Palatino Linotype" w:hAnsi="Palatino Linotype"/>
          <w:color w:val="auto"/>
          <w:sz w:val="20"/>
        </w:rPr>
        <w:t xml:space="preserve"> </w:t>
      </w:r>
      <w:r w:rsidR="0067397C" w:rsidRPr="00784FBB">
        <w:rPr>
          <w:rFonts w:ascii="Palatino Linotype" w:hAnsi="Palatino Linotype"/>
          <w:color w:val="auto"/>
          <w:sz w:val="20"/>
        </w:rPr>
        <w:t xml:space="preserve">tumor-ctrl, tumor-tumor </w:t>
      </w:r>
      <w:r w:rsidR="00125A39" w:rsidRPr="00784FBB">
        <w:rPr>
          <w:rFonts w:ascii="Palatino Linotype" w:hAnsi="Palatino Linotype"/>
          <w:color w:val="auto"/>
          <w:sz w:val="20"/>
        </w:rPr>
        <w:t>comparison-based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 selected prote</w:t>
      </w:r>
      <w:r w:rsidR="00125A39" w:rsidRPr="00784FBB">
        <w:rPr>
          <w:rFonts w:ascii="Palatino Linotype" w:hAnsi="Palatino Linotype"/>
          <w:color w:val="auto"/>
          <w:sz w:val="20"/>
        </w:rPr>
        <w:t>ins</w:t>
      </w:r>
      <w:r w:rsidR="00C44B40" w:rsidRPr="00784FBB">
        <w:rPr>
          <w:rFonts w:ascii="Palatino Linotype" w:hAnsi="Palatino Linotype"/>
          <w:color w:val="auto"/>
          <w:sz w:val="20"/>
        </w:rPr>
        <w:t>. The two sample groups shared four significantly altered proteins (</w:t>
      </w:r>
      <w:r w:rsidR="00254443" w:rsidRPr="00784FBB">
        <w:rPr>
          <w:rFonts w:ascii="Palatino Linotype" w:hAnsi="Palatino Linotype"/>
          <w:color w:val="auto"/>
          <w:sz w:val="20"/>
        </w:rPr>
        <w:t xml:space="preserve">in </w:t>
      </w:r>
      <w:r w:rsidR="009B4432" w:rsidRPr="00784FBB">
        <w:rPr>
          <w:rFonts w:ascii="Palatino Linotype" w:hAnsi="Palatino Linotype"/>
          <w:color w:val="auto"/>
          <w:sz w:val="20"/>
        </w:rPr>
        <w:t>bald)</w:t>
      </w:r>
      <w:r w:rsidR="008D0030" w:rsidRPr="00784FBB">
        <w:rPr>
          <w:rFonts w:ascii="Palatino Linotype" w:hAnsi="Palatino Linotype"/>
          <w:color w:val="auto"/>
          <w:sz w:val="20"/>
        </w:rPr>
        <w:t>.</w:t>
      </w:r>
      <w:r w:rsidR="00C44B40" w:rsidRPr="00784FBB">
        <w:rPr>
          <w:rFonts w:ascii="Palatino Linotype" w:hAnsi="Palatino Linotype"/>
          <w:color w:val="auto"/>
          <w:sz w:val="20"/>
        </w:rPr>
        <w:t xml:space="preserve"> </w:t>
      </w:r>
      <w:r w:rsidR="00CC65BF" w:rsidRPr="00784FBB">
        <w:rPr>
          <w:rFonts w:ascii="Palatino Linotype" w:hAnsi="Palatino Linotype"/>
          <w:color w:val="auto"/>
          <w:sz w:val="20"/>
        </w:rPr>
        <w:t xml:space="preserve">These proteins also showed relevant difference in other comparisons, but only the result of the highest Cohen’s d is shown (detailed in </w:t>
      </w:r>
      <w:r w:rsidR="00560E8C" w:rsidRPr="00784FBB">
        <w:rPr>
          <w:rFonts w:ascii="Palatino Linotype" w:hAnsi="Palatino Linotype"/>
          <w:color w:val="auto"/>
          <w:sz w:val="20"/>
        </w:rPr>
        <w:t>Table S1</w:t>
      </w:r>
      <w:r w:rsidR="00CC65BF" w:rsidRPr="00784FBB">
        <w:rPr>
          <w:rFonts w:ascii="Palatino Linotype" w:hAnsi="Palatino Linotype"/>
          <w:color w:val="auto"/>
          <w:sz w:val="20"/>
        </w:rPr>
        <w:t>).</w:t>
      </w:r>
    </w:p>
    <w:p w14:paraId="247D7DD0" w14:textId="77777777" w:rsidR="009F6FBF" w:rsidRPr="00784FBB" w:rsidRDefault="009F6FBF" w:rsidP="00784FBB">
      <w:pPr>
        <w:spacing w:line="240" w:lineRule="auto"/>
        <w:rPr>
          <w:rFonts w:ascii="Palatino Linotype" w:hAnsi="Palatino Linotype"/>
          <w:color w:val="auto"/>
          <w:sz w:val="20"/>
        </w:rPr>
      </w:pPr>
    </w:p>
    <w:p w14:paraId="7D504A95" w14:textId="77777777" w:rsidR="009F6FBF" w:rsidRPr="00784FBB" w:rsidRDefault="009F6FBF" w:rsidP="00784FBB">
      <w:pPr>
        <w:spacing w:line="240" w:lineRule="auto"/>
        <w:rPr>
          <w:rFonts w:ascii="Palatino Linotype" w:hAnsi="Palatino Linotype"/>
          <w:color w:val="auto"/>
          <w:sz w:val="20"/>
        </w:rPr>
      </w:pPr>
    </w:p>
    <w:sectPr w:rsidR="009F6FBF" w:rsidRPr="00784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5BF"/>
    <w:rsid w:val="00021456"/>
    <w:rsid w:val="00096777"/>
    <w:rsid w:val="000B49DA"/>
    <w:rsid w:val="000D74DF"/>
    <w:rsid w:val="00125A39"/>
    <w:rsid w:val="0015706A"/>
    <w:rsid w:val="00160B06"/>
    <w:rsid w:val="001E4CF0"/>
    <w:rsid w:val="00254443"/>
    <w:rsid w:val="003E6C38"/>
    <w:rsid w:val="004343F8"/>
    <w:rsid w:val="00552C05"/>
    <w:rsid w:val="00560E8C"/>
    <w:rsid w:val="005A43FA"/>
    <w:rsid w:val="006730C0"/>
    <w:rsid w:val="0067397C"/>
    <w:rsid w:val="00784FBB"/>
    <w:rsid w:val="00831AA8"/>
    <w:rsid w:val="008D0030"/>
    <w:rsid w:val="0092259A"/>
    <w:rsid w:val="009B4432"/>
    <w:rsid w:val="009F6FBF"/>
    <w:rsid w:val="00B11CFE"/>
    <w:rsid w:val="00C03A0D"/>
    <w:rsid w:val="00C44B40"/>
    <w:rsid w:val="00CC65BF"/>
    <w:rsid w:val="00DC4ACC"/>
    <w:rsid w:val="00F42775"/>
    <w:rsid w:val="00F6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C8F03"/>
  <w15:chartTrackingRefBased/>
  <w15:docId w15:val="{56C20CE6-F032-4B40-9ED6-6B3E9FE9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5B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3tablefooter">
    <w:name w:val="MDPI_4.3_table_footer"/>
    <w:basedOn w:val="Normal"/>
    <w:next w:val="Normal"/>
    <w:qFormat/>
    <w:rsid w:val="00CC65BF"/>
    <w:pPr>
      <w:adjustRightInd w:val="0"/>
      <w:snapToGrid w:val="0"/>
      <w:spacing w:after="120" w:line="260" w:lineRule="atLeast"/>
    </w:pPr>
    <w:rPr>
      <w:rFonts w:ascii="Palatino Linotype" w:hAnsi="Palatino Linotype"/>
      <w:sz w:val="18"/>
      <w:szCs w:val="22"/>
      <w:lang w:bidi="en-US"/>
    </w:rPr>
  </w:style>
  <w:style w:type="paragraph" w:customStyle="1" w:styleId="MDPI31text">
    <w:name w:val="MDPI_3.1_text"/>
    <w:qFormat/>
    <w:rsid w:val="009F6FB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Normal"/>
    <w:qFormat/>
    <w:rsid w:val="009F6FBF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0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6A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480</Words>
  <Characters>2702</Characters>
  <Application>Microsoft Office Word</Application>
  <DocSecurity>0</DocSecurity>
  <Lines>40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MDPI-27</cp:lastModifiedBy>
  <cp:revision>8</cp:revision>
  <dcterms:created xsi:type="dcterms:W3CDTF">2020-07-27T08:09:00Z</dcterms:created>
  <dcterms:modified xsi:type="dcterms:W3CDTF">2020-07-28T10:05:00Z</dcterms:modified>
</cp:coreProperties>
</file>