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180" w:type="dxa"/>
        <w:tblInd w:w="198" w:type="dxa"/>
        <w:tblLook w:val="04A0" w:firstRow="1" w:lastRow="0" w:firstColumn="1" w:lastColumn="0" w:noHBand="0" w:noVBand="1"/>
      </w:tblPr>
      <w:tblGrid>
        <w:gridCol w:w="9180"/>
      </w:tblGrid>
      <w:tr w:rsidR="004525C6" w:rsidRPr="004525C6" w14:paraId="5D534C54" w14:textId="77777777" w:rsidTr="004525C6">
        <w:tc>
          <w:tcPr>
            <w:tcW w:w="9180" w:type="dxa"/>
          </w:tcPr>
          <w:p w14:paraId="08311084" w14:textId="77777777" w:rsidR="004525C6" w:rsidRPr="004525C6" w:rsidRDefault="004525C6" w:rsidP="004525C6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4525C6">
              <w:rPr>
                <w:rFonts w:ascii="Arial" w:hAnsi="Arial" w:cs="Arial"/>
                <w:b/>
                <w:bCs/>
              </w:rPr>
              <w:t>Genes used to define Adipocytes</w:t>
            </w:r>
          </w:p>
        </w:tc>
      </w:tr>
      <w:tr w:rsidR="004525C6" w:rsidRPr="004525C6" w14:paraId="3349F2EE" w14:textId="77777777" w:rsidTr="004525C6">
        <w:tc>
          <w:tcPr>
            <w:tcW w:w="9180" w:type="dxa"/>
          </w:tcPr>
          <w:p w14:paraId="5FA40B14" w14:textId="77777777" w:rsidR="004525C6" w:rsidRPr="004525C6" w:rsidRDefault="004525C6" w:rsidP="004525C6">
            <w:pPr>
              <w:jc w:val="center"/>
              <w:rPr>
                <w:rFonts w:ascii="Arial" w:hAnsi="Arial" w:cs="Arial"/>
              </w:rPr>
            </w:pPr>
            <w:r w:rsidRPr="004525C6">
              <w:rPr>
                <w:rFonts w:ascii="Arial" w:hAnsi="Arial" w:cs="Arial"/>
                <w:color w:val="000000"/>
              </w:rPr>
              <w:t>ADH1B, ADIPOQ, ATP1A2, ATP5G3, C6, CILP, COL5A3, DBI, DLAT, ECHDC1, GPD1, HADHA, HP, LBP, PLIN1, PNPLA2, PPP1R1A, PPP2R1B, PTGER3, SLC25A6, TF</w:t>
            </w:r>
          </w:p>
        </w:tc>
      </w:tr>
    </w:tbl>
    <w:p w14:paraId="2A6DED62" w14:textId="555B24DF" w:rsidR="004525C6" w:rsidRPr="004525C6" w:rsidRDefault="004525C6">
      <w:pPr>
        <w:rPr>
          <w:b/>
          <w:bCs/>
        </w:rPr>
      </w:pPr>
    </w:p>
    <w:p w14:paraId="24A25B2D" w14:textId="35813498" w:rsidR="004525C6" w:rsidRPr="004918F1" w:rsidRDefault="004525C6">
      <w:pPr>
        <w:rPr>
          <w:rFonts w:ascii="Arial" w:hAnsi="Arial" w:cs="Arial"/>
          <w:sz w:val="24"/>
          <w:szCs w:val="24"/>
        </w:rPr>
      </w:pPr>
      <w:r w:rsidRPr="004525C6">
        <w:rPr>
          <w:rFonts w:ascii="Arial" w:hAnsi="Arial" w:cs="Arial"/>
          <w:b/>
          <w:bCs/>
          <w:sz w:val="24"/>
          <w:szCs w:val="24"/>
        </w:rPr>
        <w:t>Supplementary Table S1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="004B6670">
        <w:rPr>
          <w:rFonts w:ascii="Arial" w:hAnsi="Arial" w:cs="Arial"/>
          <w:sz w:val="24"/>
          <w:szCs w:val="24"/>
        </w:rPr>
        <w:t xml:space="preserve">The genes used to define adipocytes in xCell, the </w:t>
      </w:r>
      <w:r w:rsidR="00370080" w:rsidRPr="004918F1">
        <w:rPr>
          <w:rFonts w:ascii="Arial" w:hAnsi="Arial" w:cs="Arial"/>
          <w:sz w:val="24"/>
          <w:szCs w:val="24"/>
        </w:rPr>
        <w:t xml:space="preserve">computational algorithm reported by </w:t>
      </w:r>
      <w:proofErr w:type="spellStart"/>
      <w:r w:rsidR="00370080" w:rsidRPr="004918F1">
        <w:rPr>
          <w:rFonts w:ascii="Arial" w:hAnsi="Arial" w:cs="Arial"/>
          <w:sz w:val="24"/>
          <w:szCs w:val="24"/>
        </w:rPr>
        <w:t>Aran</w:t>
      </w:r>
      <w:proofErr w:type="spellEnd"/>
      <w:r w:rsidR="00370080" w:rsidRPr="004918F1">
        <w:rPr>
          <w:rFonts w:ascii="Arial" w:hAnsi="Arial" w:cs="Arial"/>
          <w:sz w:val="24"/>
          <w:szCs w:val="24"/>
        </w:rPr>
        <w:t xml:space="preserve"> et al </w:t>
      </w:r>
      <w:r w:rsidR="004B6670" w:rsidRPr="004918F1">
        <w:rPr>
          <w:rFonts w:ascii="Arial" w:hAnsi="Arial" w:cs="Arial"/>
          <w:sz w:val="24"/>
          <w:szCs w:val="24"/>
        </w:rPr>
        <w:fldChar w:fldCharType="begin">
          <w:fldData xml:space="preserve">PEVuZE5vdGU+PENpdGU+PEF1dGhvcj5BcmFuPC9BdXRob3I+PFllYXI+MjAxNzwvWWVhcj48UmVj
TnVtPjQ3PC9SZWNOdW0+PERpc3BsYXlUZXh0PlsxXTwvRGlzcGxheVRleHQ+PHJlY29yZD48cmVj
LW51bWJlcj40NzwvcmVjLW51bWJlcj48Zm9yZWlnbi1rZXlzPjxrZXkgYXBwPSJFTiIgZGItaWQ9
ImEyZDlkZTV2OXd6ZHBjZTU1emhwZXhhZGVyeDBhdnRleGRkMCIgdGltZXN0YW1wPSIxNTkyNDg2
MzM1Ij40Nzwva2V5PjwvZm9yZWlnbi1rZXlzPjxyZWYtdHlwZSBuYW1lPSJKb3VybmFsIEFydGlj
bGUiPjE3PC9yZWYtdHlwZT48Y29udHJpYnV0b3JzPjxhdXRob3JzPjxhdXRob3I+QXJhbiwgRC48
L2F1dGhvcj48YXV0aG9yPkh1LCBaLjwvYXV0aG9yPjxhdXRob3I+QnV0dGUsIEEuIEouPC9hdXRo
b3I+PC9hdXRob3JzPjwvY29udHJpYnV0b3JzPjxhdXRoLWFkZHJlc3M+SW5zdGl0dXRlIGZvciBD
b21wdXRhdGlvbmFsIEhlYWx0aCBTY2llbmNlcywgVW5pdmVyc2l0eSBvZiBDYWxpZm9ybmlhLCBT
YW4gRnJhbmNpc2NvLCBDYWxpZm9ybmlhLCA5NDE1OCwgVVNBLiBkdmlyLmFyYW5AdWNzZi5lZHUu
JiN4RDtJbnN0aXR1dGUgZm9yIENvbXB1dGF0aW9uYWwgSGVhbHRoIFNjaWVuY2VzLCBVbml2ZXJz
aXR5IG9mIENhbGlmb3JuaWEsIFNhbiBGcmFuY2lzY28sIENhbGlmb3JuaWEsIDk0MTU4LCBVU0Eu
JiN4RDtJbnN0aXR1dGUgZm9yIENvbXB1dGF0aW9uYWwgSGVhbHRoIFNjaWVuY2VzLCBVbml2ZXJz
aXR5IG9mIENhbGlmb3JuaWEsIFNhbiBGcmFuY2lzY28sIENhbGlmb3JuaWEsIDk0MTU4LCBVU0Eu
IGF0dWwuYnV0dGVAdWNzZi5lZHUuPC9hdXRoLWFkZHJlc3M+PHRpdGxlcz48dGl0bGU+eENlbGw6
IGRpZ2l0YWxseSBwb3J0cmF5aW5nIHRoZSB0aXNzdWUgY2VsbHVsYXIgaGV0ZXJvZ2VuZWl0eSBs
YW5kc2NhcGU8L3RpdGxlPjxzZWNvbmRhcnktdGl0bGU+R2Vub21lIEJpb2w8L3NlY29uZGFyeS10
aXRsZT48YWx0LXRpdGxlPkdlbm9tZSBiaW9sb2d5PC9hbHQtdGl0bGU+PC90aXRsZXM+PHBlcmlv
ZGljYWw+PGZ1bGwtdGl0bGU+R2Vub21lIEJpb2w8L2Z1bGwtdGl0bGU+PGFiYnItMT5HZW5vbWUg
YmlvbG9neTwvYWJici0xPjwvcGVyaW9kaWNhbD48YWx0LXBlcmlvZGljYWw+PGZ1bGwtdGl0bGU+
R2Vub21lIEJpb2w8L2Z1bGwtdGl0bGU+PGFiYnItMT5HZW5vbWUgYmlvbG9neTwvYWJici0xPjwv
YWx0LXBlcmlvZGljYWw+PHBhZ2VzPjIyMDwvcGFnZXM+PHZvbHVtZT4xODwvdm9sdW1lPjxudW1i
ZXI+MTwvbnVtYmVyPjxlZGl0aW9uPjIwMTcvMTEvMTc8L2VkaXRpb24+PGtleXdvcmRzPjxrZXl3
b3JkPkNlbGxzLyptZXRhYm9saXNtPC9rZXl3b3JkPjxrZXl3b3JkPkNvbXB1dGVyIFNpbXVsYXRp
b248L2tleXdvcmQ+PGtleXdvcmQ+RmxvdyBDeXRvbWV0cnk8L2tleXdvcmQ+PGtleXdvcmQ+R2Vu
ZSBFeHByZXNzaW9uIFJlZ3VsYXRpb24sIE5lb3BsYXN0aWM8L2tleXdvcmQ+PGtleXdvcmQ+SHVt
YW5zPC9rZXl3b3JkPjxrZXl3b3JkPk5lb3BsYXNtcy9nZW5ldGljcy9wYXRob2xvZ3k8L2tleXdv
cmQ+PGtleXdvcmQ+Kk9yZ2FuIFNwZWNpZmljaXR5PC9rZXl3b3JkPjxrZXl3b3JkPlJlcHJvZHVj
aWJpbGl0eSBvZiBSZXN1bHRzPC9rZXl3b3JkPjxrZXl3b3JkPipTb2Z0d2FyZTwva2V5d29yZD48
a2V5d29yZD5UcmFuc2NyaXB0b21lPC9rZXl3b3JkPjwva2V5d29yZHM+PGRhdGVzPjx5ZWFyPjIw
MTc8L3llYXI+PHB1Yi1kYXRlcz48ZGF0ZT5Ob3YgMTU8L2RhdGU+PC9wdWItZGF0ZXM+PC9kYXRl
cz48aXNibj4xNDc0LTc1OTYgKFByaW50KSYjeEQ7MTQ3NC03NTk2PC9pc2JuPjxhY2Nlc3Npb24t
bnVtPjI5MTQxNjYwPC9hY2Nlc3Npb24tbnVtPjx1cmxzPjxyZWxhdGVkLXVybHM+PHVybD5odHRw
czovL2VzY2hvbGFyc2hpcC5vcmcvY29udGVudC9xdDhzMzFkNTIxL3F0OHMzMWQ1MjEucGRmP3Q9
cWFmcXVrPC91cmw+PC9yZWxhdGVkLXVybHM+PC91cmxzPjxjdXN0b20yPlBNQzU2ODg2NjMgYXV0
aG9ycyBkZWNsYXJlIHRoYXQgdGhleSBoYXZlIG5vIGNvbXBldGluZyBpbnRlcmVzdHMuIFBVQkxJ
U0hFUiZhcG9zO1MgTk9URTogU3ByaW5nZXIgTmF0dXJlIHJlbWFpbnMgbmV1dHJhbCB3aXRoIHJl
Z2FyZCB0byBqdXJpc2RpY3Rpb25hbCBjbGFpbXMgaW4gcHVibGlzaGVkIG1hcHMgYW5kIGluc3Rp
dHV0aW9uYWwgYWZmaWxpYXRpb25zLjwvY3VzdG9tMj48ZWxlY3Ryb25pYy1yZXNvdXJjZS1udW0+
MTAuMTE4Ni9zMTMwNTktMDE3LTEzNDktMTwvZWxlY3Ryb25pYy1yZXNvdXJjZS1udW0+PHJlbW90
ZS1kYXRhYmFzZS1wcm92aWRlcj5OTE08L3JlbW90ZS1kYXRhYmFzZS1wcm92aWRlcj48bGFuZ3Vh
Z2U+ZW5nPC9sYW5ndWFnZT48L3JlY29yZD48L0NpdGU+PC9FbmROb3RlPn==
</w:fldData>
        </w:fldChar>
      </w:r>
      <w:r w:rsidR="004B6670" w:rsidRPr="004918F1">
        <w:rPr>
          <w:rFonts w:ascii="Arial" w:hAnsi="Arial" w:cs="Arial"/>
          <w:sz w:val="24"/>
          <w:szCs w:val="24"/>
        </w:rPr>
        <w:instrText xml:space="preserve"> ADDIN EN.CITE </w:instrText>
      </w:r>
      <w:r w:rsidR="004B6670" w:rsidRPr="004918F1">
        <w:rPr>
          <w:rFonts w:ascii="Arial" w:hAnsi="Arial" w:cs="Arial"/>
          <w:sz w:val="24"/>
          <w:szCs w:val="24"/>
        </w:rPr>
        <w:fldChar w:fldCharType="begin">
          <w:fldData xml:space="preserve">PEVuZE5vdGU+PENpdGU+PEF1dGhvcj5BcmFuPC9BdXRob3I+PFllYXI+MjAxNzwvWWVhcj48UmVj
TnVtPjQ3PC9SZWNOdW0+PERpc3BsYXlUZXh0PlsxXTwvRGlzcGxheVRleHQ+PHJlY29yZD48cmVj
LW51bWJlcj40NzwvcmVjLW51bWJlcj48Zm9yZWlnbi1rZXlzPjxrZXkgYXBwPSJFTiIgZGItaWQ9
ImEyZDlkZTV2OXd6ZHBjZTU1emhwZXhhZGVyeDBhdnRleGRkMCIgdGltZXN0YW1wPSIxNTkyNDg2
MzM1Ij40Nzwva2V5PjwvZm9yZWlnbi1rZXlzPjxyZWYtdHlwZSBuYW1lPSJKb3VybmFsIEFydGlj
bGUiPjE3PC9yZWYtdHlwZT48Y29udHJpYnV0b3JzPjxhdXRob3JzPjxhdXRob3I+QXJhbiwgRC48
L2F1dGhvcj48YXV0aG9yPkh1LCBaLjwvYXV0aG9yPjxhdXRob3I+QnV0dGUsIEEuIEouPC9hdXRo
b3I+PC9hdXRob3JzPjwvY29udHJpYnV0b3JzPjxhdXRoLWFkZHJlc3M+SW5zdGl0dXRlIGZvciBD
b21wdXRhdGlvbmFsIEhlYWx0aCBTY2llbmNlcywgVW5pdmVyc2l0eSBvZiBDYWxpZm9ybmlhLCBT
YW4gRnJhbmNpc2NvLCBDYWxpZm9ybmlhLCA5NDE1OCwgVVNBLiBkdmlyLmFyYW5AdWNzZi5lZHUu
JiN4RDtJbnN0aXR1dGUgZm9yIENvbXB1dGF0aW9uYWwgSGVhbHRoIFNjaWVuY2VzLCBVbml2ZXJz
aXR5IG9mIENhbGlmb3JuaWEsIFNhbiBGcmFuY2lzY28sIENhbGlmb3JuaWEsIDk0MTU4LCBVU0Eu
JiN4RDtJbnN0aXR1dGUgZm9yIENvbXB1dGF0aW9uYWwgSGVhbHRoIFNjaWVuY2VzLCBVbml2ZXJz
aXR5IG9mIENhbGlmb3JuaWEsIFNhbiBGcmFuY2lzY28sIENhbGlmb3JuaWEsIDk0MTU4LCBVU0Eu
IGF0dWwuYnV0dGVAdWNzZi5lZHUuPC9hdXRoLWFkZHJlc3M+PHRpdGxlcz48dGl0bGU+eENlbGw6
IGRpZ2l0YWxseSBwb3J0cmF5aW5nIHRoZSB0aXNzdWUgY2VsbHVsYXIgaGV0ZXJvZ2VuZWl0eSBs
YW5kc2NhcGU8L3RpdGxlPjxzZWNvbmRhcnktdGl0bGU+R2Vub21lIEJpb2w8L3NlY29uZGFyeS10
aXRsZT48YWx0LXRpdGxlPkdlbm9tZSBiaW9sb2d5PC9hbHQtdGl0bGU+PC90aXRsZXM+PHBlcmlv
ZGljYWw+PGZ1bGwtdGl0bGU+R2Vub21lIEJpb2w8L2Z1bGwtdGl0bGU+PGFiYnItMT5HZW5vbWUg
YmlvbG9neTwvYWJici0xPjwvcGVyaW9kaWNhbD48YWx0LXBlcmlvZGljYWw+PGZ1bGwtdGl0bGU+
R2Vub21lIEJpb2w8L2Z1bGwtdGl0bGU+PGFiYnItMT5HZW5vbWUgYmlvbG9neTwvYWJici0xPjwv
YWx0LXBlcmlvZGljYWw+PHBhZ2VzPjIyMDwvcGFnZXM+PHZvbHVtZT4xODwvdm9sdW1lPjxudW1i
ZXI+MTwvbnVtYmVyPjxlZGl0aW9uPjIwMTcvMTEvMTc8L2VkaXRpb24+PGtleXdvcmRzPjxrZXl3
b3JkPkNlbGxzLyptZXRhYm9saXNtPC9rZXl3b3JkPjxrZXl3b3JkPkNvbXB1dGVyIFNpbXVsYXRp
b248L2tleXdvcmQ+PGtleXdvcmQ+RmxvdyBDeXRvbWV0cnk8L2tleXdvcmQ+PGtleXdvcmQ+R2Vu
ZSBFeHByZXNzaW9uIFJlZ3VsYXRpb24sIE5lb3BsYXN0aWM8L2tleXdvcmQ+PGtleXdvcmQ+SHVt
YW5zPC9rZXl3b3JkPjxrZXl3b3JkPk5lb3BsYXNtcy9nZW5ldGljcy9wYXRob2xvZ3k8L2tleXdv
cmQ+PGtleXdvcmQ+Kk9yZ2FuIFNwZWNpZmljaXR5PC9rZXl3b3JkPjxrZXl3b3JkPlJlcHJvZHVj
aWJpbGl0eSBvZiBSZXN1bHRzPC9rZXl3b3JkPjxrZXl3b3JkPipTb2Z0d2FyZTwva2V5d29yZD48
a2V5d29yZD5UcmFuc2NyaXB0b21lPC9rZXl3b3JkPjwva2V5d29yZHM+PGRhdGVzPjx5ZWFyPjIw
MTc8L3llYXI+PHB1Yi1kYXRlcz48ZGF0ZT5Ob3YgMTU8L2RhdGU+PC9wdWItZGF0ZXM+PC9kYXRl
cz48aXNibj4xNDc0LTc1OTYgKFByaW50KSYjeEQ7MTQ3NC03NTk2PC9pc2JuPjxhY2Nlc3Npb24t
bnVtPjI5MTQxNjYwPC9hY2Nlc3Npb24tbnVtPjx1cmxzPjxyZWxhdGVkLXVybHM+PHVybD5odHRw
czovL2VzY2hvbGFyc2hpcC5vcmcvY29udGVudC9xdDhzMzFkNTIxL3F0OHMzMWQ1MjEucGRmP3Q9
cWFmcXVrPC91cmw+PC9yZWxhdGVkLXVybHM+PC91cmxzPjxjdXN0b20yPlBNQzU2ODg2NjMgYXV0
aG9ycyBkZWNsYXJlIHRoYXQgdGhleSBoYXZlIG5vIGNvbXBldGluZyBpbnRlcmVzdHMuIFBVQkxJ
U0hFUiZhcG9zO1MgTk9URTogU3ByaW5nZXIgTmF0dXJlIHJlbWFpbnMgbmV1dHJhbCB3aXRoIHJl
Z2FyZCB0byBqdXJpc2RpY3Rpb25hbCBjbGFpbXMgaW4gcHVibGlzaGVkIG1hcHMgYW5kIGluc3Rp
dHV0aW9uYWwgYWZmaWxpYXRpb25zLjwvY3VzdG9tMj48ZWxlY3Ryb25pYy1yZXNvdXJjZS1udW0+
MTAuMTE4Ni9zMTMwNTktMDE3LTEzNDktMTwvZWxlY3Ryb25pYy1yZXNvdXJjZS1udW0+PHJlbW90
ZS1kYXRhYmFzZS1wcm92aWRlcj5OTE08L3JlbW90ZS1kYXRhYmFzZS1wcm92aWRlcj48bGFuZ3Vh
Z2U+ZW5nPC9sYW5ndWFnZT48L3JlY29yZD48L0NpdGU+PC9FbmROb3RlPn==
</w:fldData>
        </w:fldChar>
      </w:r>
      <w:r w:rsidR="004B6670" w:rsidRPr="004918F1">
        <w:rPr>
          <w:rFonts w:ascii="Arial" w:hAnsi="Arial" w:cs="Arial"/>
          <w:sz w:val="24"/>
          <w:szCs w:val="24"/>
        </w:rPr>
        <w:instrText xml:space="preserve"> ADDIN EN.CITE.DATA </w:instrText>
      </w:r>
      <w:r w:rsidR="004B6670" w:rsidRPr="004918F1">
        <w:rPr>
          <w:rFonts w:ascii="Arial" w:hAnsi="Arial" w:cs="Arial"/>
          <w:sz w:val="24"/>
          <w:szCs w:val="24"/>
        </w:rPr>
      </w:r>
      <w:r w:rsidR="004B6670" w:rsidRPr="004918F1">
        <w:rPr>
          <w:rFonts w:ascii="Arial" w:hAnsi="Arial" w:cs="Arial"/>
          <w:sz w:val="24"/>
          <w:szCs w:val="24"/>
        </w:rPr>
        <w:fldChar w:fldCharType="end"/>
      </w:r>
      <w:r w:rsidR="004B6670" w:rsidRPr="004918F1">
        <w:rPr>
          <w:rFonts w:ascii="Arial" w:hAnsi="Arial" w:cs="Arial"/>
          <w:sz w:val="24"/>
          <w:szCs w:val="24"/>
        </w:rPr>
      </w:r>
      <w:r w:rsidR="004B6670" w:rsidRPr="004918F1">
        <w:rPr>
          <w:rFonts w:ascii="Arial" w:hAnsi="Arial" w:cs="Arial"/>
          <w:sz w:val="24"/>
          <w:szCs w:val="24"/>
        </w:rPr>
        <w:fldChar w:fldCharType="separate"/>
      </w:r>
      <w:r w:rsidR="004B6670" w:rsidRPr="004918F1">
        <w:rPr>
          <w:rFonts w:ascii="Arial" w:hAnsi="Arial" w:cs="Arial"/>
          <w:noProof/>
          <w:sz w:val="24"/>
          <w:szCs w:val="24"/>
        </w:rPr>
        <w:t>[1]</w:t>
      </w:r>
      <w:r w:rsidR="004B6670" w:rsidRPr="004918F1">
        <w:rPr>
          <w:rFonts w:ascii="Arial" w:hAnsi="Arial" w:cs="Arial"/>
          <w:sz w:val="24"/>
          <w:szCs w:val="24"/>
        </w:rPr>
        <w:fldChar w:fldCharType="end"/>
      </w:r>
      <w:r w:rsidR="004B6670" w:rsidRPr="004918F1">
        <w:rPr>
          <w:rFonts w:ascii="Arial" w:hAnsi="Arial" w:cs="Arial"/>
          <w:sz w:val="24"/>
          <w:szCs w:val="24"/>
        </w:rPr>
        <w:t>.</w:t>
      </w:r>
    </w:p>
    <w:p w14:paraId="1FCAFACA" w14:textId="20E1E26E" w:rsidR="004B6670" w:rsidRDefault="004B6670" w:rsidP="004918F1">
      <w:pPr>
        <w:pStyle w:val="EndNoteBibliography"/>
        <w:ind w:left="720" w:hanging="720"/>
        <w:rPr>
          <w:rFonts w:ascii="Arial" w:hAnsi="Arial" w:cs="Arial"/>
          <w:sz w:val="24"/>
          <w:szCs w:val="24"/>
        </w:rPr>
      </w:pPr>
      <w:r w:rsidRPr="004918F1">
        <w:rPr>
          <w:rFonts w:ascii="Arial" w:hAnsi="Arial" w:cs="Arial"/>
          <w:sz w:val="24"/>
          <w:szCs w:val="24"/>
        </w:rPr>
        <w:fldChar w:fldCharType="begin"/>
      </w:r>
      <w:r w:rsidRPr="004918F1">
        <w:rPr>
          <w:rFonts w:ascii="Arial" w:hAnsi="Arial" w:cs="Arial"/>
          <w:sz w:val="24"/>
          <w:szCs w:val="24"/>
        </w:rPr>
        <w:instrText xml:space="preserve"> ADDIN EN.REFLIST </w:instrText>
      </w:r>
      <w:r w:rsidRPr="004918F1">
        <w:rPr>
          <w:rFonts w:ascii="Arial" w:hAnsi="Arial" w:cs="Arial"/>
          <w:sz w:val="24"/>
          <w:szCs w:val="24"/>
        </w:rPr>
        <w:fldChar w:fldCharType="separate"/>
      </w:r>
      <w:r w:rsidRPr="004918F1">
        <w:rPr>
          <w:rFonts w:ascii="Arial" w:hAnsi="Arial" w:cs="Arial"/>
          <w:sz w:val="24"/>
          <w:szCs w:val="24"/>
        </w:rPr>
        <w:t>1.</w:t>
      </w:r>
      <w:r w:rsidRPr="004918F1">
        <w:rPr>
          <w:rFonts w:ascii="Arial" w:hAnsi="Arial" w:cs="Arial"/>
          <w:sz w:val="24"/>
          <w:szCs w:val="24"/>
        </w:rPr>
        <w:tab/>
        <w:t xml:space="preserve">Aran, D.; Hu, Z.; Butte, A. J., xCell: digitally portraying the tissue cellular heterogeneity landscape. </w:t>
      </w:r>
      <w:r w:rsidRPr="004918F1">
        <w:rPr>
          <w:rFonts w:ascii="Arial" w:hAnsi="Arial" w:cs="Arial"/>
          <w:i/>
          <w:sz w:val="24"/>
          <w:szCs w:val="24"/>
        </w:rPr>
        <w:t xml:space="preserve">Genome biology </w:t>
      </w:r>
      <w:r w:rsidRPr="004918F1">
        <w:rPr>
          <w:rFonts w:ascii="Arial" w:hAnsi="Arial" w:cs="Arial"/>
          <w:b/>
          <w:sz w:val="24"/>
          <w:szCs w:val="24"/>
        </w:rPr>
        <w:t>2017,</w:t>
      </w:r>
      <w:r w:rsidRPr="004918F1">
        <w:rPr>
          <w:rFonts w:ascii="Arial" w:hAnsi="Arial" w:cs="Arial"/>
          <w:sz w:val="24"/>
          <w:szCs w:val="24"/>
        </w:rPr>
        <w:t xml:space="preserve"> 18, (1), 220.</w:t>
      </w:r>
      <w:r w:rsidRPr="004918F1">
        <w:rPr>
          <w:rFonts w:ascii="Arial" w:hAnsi="Arial" w:cs="Arial"/>
          <w:sz w:val="24"/>
          <w:szCs w:val="24"/>
        </w:rPr>
        <w:fldChar w:fldCharType="end"/>
      </w:r>
    </w:p>
    <w:p w14:paraId="14B85282" w14:textId="7E41EFB5" w:rsidR="00F7590E" w:rsidRDefault="00F7590E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48EE4DC" w14:textId="77777777" w:rsidR="00F7590E" w:rsidRDefault="00F7590E" w:rsidP="00F7590E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  <w:bookmarkStart w:id="1" w:name="_Hlk47711227"/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CAA249A" wp14:editId="564B1E2E">
            <wp:extent cx="5086444" cy="44672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202"/>
                    <a:stretch/>
                  </pic:blipFill>
                  <pic:spPr bwMode="auto">
                    <a:xfrm>
                      <a:off x="0" y="0"/>
                      <a:ext cx="5114833" cy="4492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EEAFA7" w14:textId="77777777" w:rsidR="00F7590E" w:rsidRDefault="00F7590E" w:rsidP="00F7590E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</w:p>
    <w:p w14:paraId="37D56A71" w14:textId="307EE9B0" w:rsidR="00F7590E" w:rsidRDefault="00F7590E" w:rsidP="00F7590E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  <w:bookmarkStart w:id="2" w:name="_Hlk47711273"/>
      <w:r w:rsidRPr="002A5FF4">
        <w:rPr>
          <w:rFonts w:ascii="Arial" w:hAnsi="Arial" w:cs="Arial"/>
          <w:b/>
          <w:bCs/>
          <w:sz w:val="24"/>
          <w:szCs w:val="24"/>
        </w:rPr>
        <w:t>Supplementary Figure S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2A5FF4">
        <w:rPr>
          <w:rFonts w:ascii="Arial" w:hAnsi="Arial" w:cs="Arial"/>
          <w:b/>
          <w:bCs/>
          <w:sz w:val="24"/>
          <w:szCs w:val="24"/>
        </w:rPr>
        <w:t xml:space="preserve">. </w:t>
      </w:r>
      <w:r w:rsidRPr="0007524C">
        <w:rPr>
          <w:rFonts w:ascii="Arial" w:hAnsi="Arial" w:cs="Arial"/>
          <w:sz w:val="24"/>
          <w:szCs w:val="24"/>
        </w:rPr>
        <w:t xml:space="preserve">Relationships between </w:t>
      </w:r>
      <w:r w:rsidR="00884C61">
        <w:rPr>
          <w:rFonts w:ascii="Arial" w:hAnsi="Arial" w:cs="Arial"/>
          <w:sz w:val="24"/>
          <w:szCs w:val="24"/>
        </w:rPr>
        <w:t xml:space="preserve">pathological complete </w:t>
      </w:r>
      <w:r w:rsidRPr="0007524C">
        <w:rPr>
          <w:rFonts w:ascii="Arial" w:hAnsi="Arial" w:cs="Arial"/>
          <w:sz w:val="24"/>
          <w:szCs w:val="24"/>
        </w:rPr>
        <w:t>response</w:t>
      </w:r>
      <w:r w:rsidR="00884C61">
        <w:rPr>
          <w:rFonts w:ascii="Arial" w:hAnsi="Arial" w:cs="Arial"/>
          <w:sz w:val="24"/>
          <w:szCs w:val="24"/>
        </w:rPr>
        <w:t xml:space="preserve"> (pCR) rate</w:t>
      </w:r>
      <w:r w:rsidRPr="0007524C">
        <w:rPr>
          <w:rFonts w:ascii="Arial" w:hAnsi="Arial" w:cs="Arial"/>
          <w:sz w:val="24"/>
          <w:szCs w:val="24"/>
        </w:rPr>
        <w:t xml:space="preserve"> to neoadjuvant chemotherapy (NAC) and</w:t>
      </w:r>
      <w:r>
        <w:rPr>
          <w:rFonts w:ascii="Arial" w:hAnsi="Arial" w:cs="Arial"/>
          <w:sz w:val="24"/>
          <w:szCs w:val="24"/>
        </w:rPr>
        <w:t xml:space="preserve"> </w:t>
      </w:r>
      <w:r w:rsidR="00884C61">
        <w:rPr>
          <w:rFonts w:ascii="Arial" w:hAnsi="Arial" w:cs="Arial"/>
          <w:sz w:val="24"/>
          <w:szCs w:val="24"/>
        </w:rPr>
        <w:t xml:space="preserve">amount of </w:t>
      </w:r>
      <w:r>
        <w:rPr>
          <w:rFonts w:ascii="Arial" w:hAnsi="Arial" w:cs="Arial"/>
          <w:sz w:val="24"/>
          <w:szCs w:val="24"/>
        </w:rPr>
        <w:t>intratumoral adipocyte</w:t>
      </w:r>
      <w:r w:rsidRPr="0007524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Bar plots demonstrate the difference of pCR rate between the </w:t>
      </w:r>
      <w:r w:rsidR="00884C61">
        <w:rPr>
          <w:rFonts w:ascii="Arial" w:hAnsi="Arial" w:cs="Arial"/>
          <w:sz w:val="24"/>
          <w:szCs w:val="24"/>
        </w:rPr>
        <w:t>adipocyte</w:t>
      </w:r>
      <w:r>
        <w:rPr>
          <w:rFonts w:ascii="Arial" w:hAnsi="Arial" w:cs="Arial"/>
          <w:sz w:val="24"/>
          <w:szCs w:val="24"/>
        </w:rPr>
        <w:t>-</w:t>
      </w:r>
      <w:r w:rsidRPr="00097967">
        <w:rPr>
          <w:rFonts w:ascii="Arial" w:hAnsi="Arial" w:cs="Arial"/>
          <w:sz w:val="24"/>
          <w:szCs w:val="24"/>
        </w:rPr>
        <w:t>high</w:t>
      </w:r>
      <w:r w:rsidR="00884C61">
        <w:rPr>
          <w:rFonts w:ascii="Arial" w:hAnsi="Arial" w:cs="Arial"/>
          <w:sz w:val="24"/>
          <w:szCs w:val="24"/>
        </w:rPr>
        <w:t xml:space="preserve"> (red)</w:t>
      </w:r>
      <w:r w:rsidRPr="00097967">
        <w:rPr>
          <w:rFonts w:ascii="Arial" w:hAnsi="Arial" w:cs="Arial"/>
          <w:sz w:val="24"/>
          <w:szCs w:val="24"/>
        </w:rPr>
        <w:t xml:space="preserve"> or low </w:t>
      </w:r>
      <w:r w:rsidR="00884C61">
        <w:rPr>
          <w:rFonts w:ascii="Arial" w:hAnsi="Arial" w:cs="Arial"/>
          <w:sz w:val="24"/>
          <w:szCs w:val="24"/>
        </w:rPr>
        <w:t xml:space="preserve">(blue) </w:t>
      </w:r>
      <w:r>
        <w:rPr>
          <w:rFonts w:ascii="Arial" w:hAnsi="Arial" w:cs="Arial"/>
          <w:sz w:val="24"/>
          <w:szCs w:val="24"/>
        </w:rPr>
        <w:t xml:space="preserve">among the patients with </w:t>
      </w:r>
      <w:r w:rsidRPr="00097967">
        <w:rPr>
          <w:rFonts w:ascii="Arial" w:hAnsi="Arial" w:cs="Arial"/>
          <w:sz w:val="24"/>
          <w:szCs w:val="24"/>
        </w:rPr>
        <w:t>ER+/HER2</w:t>
      </w:r>
      <w:r>
        <w:rPr>
          <w:rFonts w:ascii="Arial" w:hAnsi="Arial" w:cs="Arial"/>
          <w:sz w:val="24"/>
          <w:szCs w:val="24"/>
        </w:rPr>
        <w:t>-</w:t>
      </w:r>
      <w:r w:rsidRPr="00097967">
        <w:rPr>
          <w:rFonts w:ascii="Arial" w:hAnsi="Arial" w:cs="Arial"/>
          <w:sz w:val="24"/>
          <w:szCs w:val="24"/>
        </w:rPr>
        <w:t xml:space="preserve"> or TNBC in GSE25066</w:t>
      </w:r>
      <w:r>
        <w:rPr>
          <w:rFonts w:ascii="Arial" w:hAnsi="Arial" w:cs="Arial"/>
          <w:sz w:val="24"/>
          <w:szCs w:val="24"/>
        </w:rPr>
        <w:t xml:space="preserve"> </w:t>
      </w:r>
      <w:r w:rsidRPr="00097967">
        <w:rPr>
          <w:rFonts w:ascii="Arial" w:hAnsi="Arial" w:cs="Arial"/>
          <w:sz w:val="24"/>
          <w:szCs w:val="24"/>
        </w:rPr>
        <w:t xml:space="preserve">(n = </w:t>
      </w:r>
      <w:r>
        <w:rPr>
          <w:rFonts w:ascii="Arial" w:hAnsi="Arial" w:cs="Arial"/>
          <w:sz w:val="24"/>
          <w:szCs w:val="24"/>
        </w:rPr>
        <w:t>508</w:t>
      </w:r>
      <w:r w:rsidRPr="00097967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Pr="00097967">
        <w:rPr>
          <w:rFonts w:ascii="Arial" w:hAnsi="Arial" w:cs="Arial"/>
          <w:sz w:val="24"/>
          <w:szCs w:val="24"/>
        </w:rPr>
        <w:t xml:space="preserve">GSE32646 (n = </w:t>
      </w:r>
      <w:r w:rsidR="006252ED">
        <w:rPr>
          <w:rFonts w:ascii="Arial" w:hAnsi="Arial" w:cs="Arial"/>
          <w:sz w:val="24"/>
          <w:szCs w:val="24"/>
        </w:rPr>
        <w:t>115</w:t>
      </w:r>
      <w:r w:rsidRPr="00097967">
        <w:rPr>
          <w:rFonts w:ascii="Arial" w:hAnsi="Arial" w:cs="Arial"/>
          <w:sz w:val="24"/>
          <w:szCs w:val="24"/>
        </w:rPr>
        <w:t>), and GSE20194</w:t>
      </w:r>
      <w:r>
        <w:rPr>
          <w:rFonts w:ascii="Arial" w:hAnsi="Arial" w:cs="Arial"/>
          <w:sz w:val="24"/>
          <w:szCs w:val="24"/>
        </w:rPr>
        <w:t xml:space="preserve"> </w:t>
      </w:r>
      <w:r w:rsidRPr="00097967">
        <w:rPr>
          <w:rFonts w:ascii="Arial" w:hAnsi="Arial" w:cs="Arial"/>
          <w:sz w:val="24"/>
          <w:szCs w:val="24"/>
        </w:rPr>
        <w:t xml:space="preserve">(n = </w:t>
      </w:r>
      <w:r w:rsidR="006252ED">
        <w:rPr>
          <w:rFonts w:ascii="Arial" w:hAnsi="Arial" w:cs="Arial"/>
          <w:sz w:val="24"/>
          <w:szCs w:val="24"/>
        </w:rPr>
        <w:t>278</w:t>
      </w:r>
      <w:r w:rsidRPr="00097967">
        <w:rPr>
          <w:rFonts w:ascii="Arial" w:hAnsi="Arial" w:cs="Arial"/>
          <w:sz w:val="24"/>
          <w:szCs w:val="24"/>
        </w:rPr>
        <w:t>) cohorts. Numbers</w:t>
      </w:r>
      <w:r>
        <w:rPr>
          <w:rFonts w:ascii="Arial" w:hAnsi="Arial" w:cs="Arial"/>
          <w:sz w:val="24"/>
          <w:szCs w:val="24"/>
        </w:rPr>
        <w:t xml:space="preserve"> </w:t>
      </w:r>
      <w:r w:rsidRPr="00097967">
        <w:rPr>
          <w:rFonts w:ascii="Arial" w:hAnsi="Arial" w:cs="Arial"/>
          <w:sz w:val="24"/>
          <w:szCs w:val="24"/>
        </w:rPr>
        <w:t>of patients who were treated and those who achieved pCR are noted below the plots.</w:t>
      </w:r>
    </w:p>
    <w:p w14:paraId="1161438D" w14:textId="035EF318" w:rsidR="00F7590E" w:rsidRPr="002A5FF4" w:rsidRDefault="00F7590E" w:rsidP="00F7590E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  <w:r w:rsidRPr="002A5FF4">
        <w:rPr>
          <w:rFonts w:ascii="Arial" w:hAnsi="Arial" w:cs="Arial"/>
          <w:sz w:val="24"/>
          <w:szCs w:val="24"/>
        </w:rPr>
        <w:t>ER+/HER2-, ER positive and HER2 negative</w:t>
      </w:r>
      <w:r w:rsidR="00884C61">
        <w:rPr>
          <w:rFonts w:ascii="Arial" w:hAnsi="Arial" w:cs="Arial"/>
          <w:sz w:val="24"/>
          <w:szCs w:val="24"/>
        </w:rPr>
        <w:t xml:space="preserve"> subtype</w:t>
      </w:r>
      <w:r>
        <w:rPr>
          <w:rFonts w:ascii="Arial" w:hAnsi="Arial" w:cs="Arial"/>
          <w:sz w:val="24"/>
          <w:szCs w:val="24"/>
        </w:rPr>
        <w:t xml:space="preserve">; </w:t>
      </w:r>
      <w:r w:rsidRPr="002A5FF4">
        <w:rPr>
          <w:rFonts w:ascii="Arial" w:hAnsi="Arial" w:cs="Arial"/>
          <w:sz w:val="24"/>
          <w:szCs w:val="24"/>
        </w:rPr>
        <w:t xml:space="preserve">TN, triple negative </w:t>
      </w:r>
      <w:r w:rsidR="00884C61">
        <w:rPr>
          <w:rFonts w:ascii="Arial" w:hAnsi="Arial" w:cs="Arial"/>
          <w:sz w:val="24"/>
          <w:szCs w:val="24"/>
        </w:rPr>
        <w:t>subtype</w:t>
      </w:r>
      <w:r>
        <w:rPr>
          <w:rFonts w:ascii="Arial" w:hAnsi="Arial" w:cs="Arial"/>
          <w:sz w:val="24"/>
          <w:szCs w:val="24"/>
        </w:rPr>
        <w:t xml:space="preserve">. </w:t>
      </w:r>
      <w:r w:rsidRPr="00036808">
        <w:rPr>
          <w:rFonts w:ascii="Arial" w:hAnsi="Arial" w:cs="Arial"/>
          <w:sz w:val="24"/>
          <w:szCs w:val="24"/>
        </w:rPr>
        <w:t>p value &lt; 0.05 was considered statistically significant.</w:t>
      </w:r>
    </w:p>
    <w:bookmarkEnd w:id="1"/>
    <w:bookmarkEnd w:id="2"/>
    <w:p w14:paraId="5B692B2C" w14:textId="77777777" w:rsidR="00F7590E" w:rsidRPr="002A5FF4" w:rsidRDefault="00F7590E" w:rsidP="00F7590E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</w:p>
    <w:p w14:paraId="65D8ADC2" w14:textId="77777777" w:rsidR="00F7590E" w:rsidRDefault="00F7590E" w:rsidP="00B02BCF">
      <w:pPr>
        <w:ind w:left="540" w:right="720"/>
        <w:jc w:val="center"/>
      </w:pPr>
    </w:p>
    <w:p w14:paraId="788F0BDC" w14:textId="4A637DAA" w:rsidR="0026541B" w:rsidRDefault="004525C6" w:rsidP="00B02BCF">
      <w:pPr>
        <w:ind w:left="540" w:right="720"/>
        <w:jc w:val="center"/>
      </w:pPr>
      <w:r>
        <w:br w:type="page"/>
      </w:r>
      <w:r w:rsidR="00B02BCF">
        <w:rPr>
          <w:noProof/>
        </w:rPr>
        <w:lastRenderedPageBreak/>
        <w:drawing>
          <wp:inline distT="0" distB="0" distL="0" distR="0" wp14:anchorId="266F2FEB" wp14:editId="5390A33E">
            <wp:extent cx="4948748" cy="2409825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518"/>
                    <a:stretch/>
                  </pic:blipFill>
                  <pic:spPr bwMode="auto">
                    <a:xfrm>
                      <a:off x="0" y="0"/>
                      <a:ext cx="4962678" cy="241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6B2CC7" w14:textId="77777777" w:rsidR="008715BC" w:rsidRDefault="008715BC" w:rsidP="008715BC">
      <w:pPr>
        <w:pStyle w:val="NoSpacing"/>
        <w:jc w:val="center"/>
      </w:pPr>
    </w:p>
    <w:p w14:paraId="3C972DEF" w14:textId="0814A748" w:rsidR="008715BC" w:rsidRDefault="008715BC" w:rsidP="004525C6">
      <w:pPr>
        <w:pStyle w:val="NoSpacing"/>
        <w:ind w:left="540" w:right="720"/>
        <w:rPr>
          <w:rFonts w:ascii="Arial" w:hAnsi="Arial" w:cs="Arial"/>
          <w:sz w:val="24"/>
          <w:szCs w:val="24"/>
        </w:rPr>
      </w:pPr>
      <w:r w:rsidRPr="002A5FF4">
        <w:rPr>
          <w:rFonts w:ascii="Arial" w:hAnsi="Arial" w:cs="Arial"/>
          <w:b/>
          <w:bCs/>
          <w:sz w:val="24"/>
          <w:szCs w:val="24"/>
        </w:rPr>
        <w:t>Supplementary Figure S</w:t>
      </w:r>
      <w:r w:rsidR="00F7590E">
        <w:rPr>
          <w:rFonts w:ascii="Arial" w:hAnsi="Arial" w:cs="Arial"/>
          <w:b/>
          <w:bCs/>
          <w:sz w:val="24"/>
          <w:szCs w:val="24"/>
        </w:rPr>
        <w:t>2</w:t>
      </w:r>
      <w:r w:rsidRPr="002A5FF4">
        <w:rPr>
          <w:rFonts w:ascii="Arial" w:hAnsi="Arial" w:cs="Arial"/>
          <w:b/>
          <w:bCs/>
          <w:sz w:val="24"/>
          <w:szCs w:val="24"/>
        </w:rPr>
        <w:t>.</w:t>
      </w:r>
      <w:r w:rsidRPr="002A5FF4">
        <w:rPr>
          <w:rFonts w:ascii="Arial" w:hAnsi="Arial" w:cs="Arial"/>
          <w:sz w:val="24"/>
          <w:szCs w:val="24"/>
        </w:rPr>
        <w:t xml:space="preserve"> Stage was not associated with the amount of adipocytes</w:t>
      </w:r>
      <w:r w:rsidR="00036808">
        <w:rPr>
          <w:rFonts w:ascii="Arial" w:hAnsi="Arial" w:cs="Arial"/>
          <w:sz w:val="24"/>
          <w:szCs w:val="24"/>
        </w:rPr>
        <w:t xml:space="preserve">. </w:t>
      </w:r>
      <w:r w:rsidR="00036808" w:rsidRPr="00036808">
        <w:rPr>
          <w:rFonts w:ascii="Arial" w:hAnsi="Arial" w:cs="Arial"/>
          <w:sz w:val="24"/>
          <w:szCs w:val="24"/>
        </w:rPr>
        <w:t>p value &lt; 0.05 was considered statistically significant.</w:t>
      </w:r>
    </w:p>
    <w:p w14:paraId="67B8BB21" w14:textId="08A490EC" w:rsidR="008715BC" w:rsidRDefault="008715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1798827" w14:textId="5E6928C4" w:rsidR="008715BC" w:rsidRDefault="008715BC" w:rsidP="008715BC">
      <w:pPr>
        <w:pStyle w:val="NoSpacing"/>
        <w:rPr>
          <w:rFonts w:ascii="Arial" w:hAnsi="Arial" w:cs="Arial"/>
          <w:sz w:val="24"/>
          <w:szCs w:val="24"/>
        </w:rPr>
      </w:pPr>
    </w:p>
    <w:p w14:paraId="034DD6ED" w14:textId="1AB2B570" w:rsidR="008715BC" w:rsidRDefault="00510DFA" w:rsidP="008715B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B546A3" wp14:editId="4B72E890">
            <wp:extent cx="5210175" cy="69544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3690" cy="698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3085D" w14:textId="77777777" w:rsidR="008715BC" w:rsidRDefault="008715BC" w:rsidP="008715B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14:paraId="0B2BFD86" w14:textId="208C9737" w:rsidR="008715BC" w:rsidRDefault="008715BC" w:rsidP="008715BC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  <w:r w:rsidRPr="002A5FF4">
        <w:rPr>
          <w:rFonts w:ascii="Arial" w:hAnsi="Arial" w:cs="Arial"/>
          <w:b/>
          <w:bCs/>
          <w:sz w:val="24"/>
          <w:szCs w:val="24"/>
        </w:rPr>
        <w:t>Supplementary Figure S</w:t>
      </w:r>
      <w:r w:rsidR="00F7590E">
        <w:rPr>
          <w:rFonts w:ascii="Arial" w:hAnsi="Arial" w:cs="Arial"/>
          <w:b/>
          <w:bCs/>
          <w:sz w:val="24"/>
          <w:szCs w:val="24"/>
        </w:rPr>
        <w:t>3</w:t>
      </w:r>
      <w:r w:rsidRPr="002A5FF4">
        <w:rPr>
          <w:rFonts w:ascii="Arial" w:hAnsi="Arial" w:cs="Arial"/>
          <w:b/>
          <w:bCs/>
          <w:sz w:val="24"/>
          <w:szCs w:val="24"/>
        </w:rPr>
        <w:t>.</w:t>
      </w:r>
      <w:r w:rsidRPr="002A5FF4">
        <w:rPr>
          <w:rFonts w:ascii="Arial" w:hAnsi="Arial" w:cs="Arial"/>
          <w:sz w:val="24"/>
          <w:szCs w:val="24"/>
        </w:rPr>
        <w:t xml:space="preserve"> </w:t>
      </w:r>
      <w:r w:rsidR="002832B4">
        <w:rPr>
          <w:rFonts w:ascii="Arial" w:hAnsi="Arial" w:cs="Arial"/>
          <w:sz w:val="24"/>
          <w:szCs w:val="24"/>
        </w:rPr>
        <w:t>Intratumoral-high</w:t>
      </w:r>
      <w:r w:rsidRPr="002A5FF4">
        <w:rPr>
          <w:rFonts w:ascii="Arial" w:hAnsi="Arial" w:cs="Arial"/>
          <w:sz w:val="24"/>
          <w:szCs w:val="24"/>
        </w:rPr>
        <w:t xml:space="preserve"> adipocyte tumors enriched the gene sets related with inflammation</w:t>
      </w:r>
      <w:r w:rsidR="00453F5C">
        <w:rPr>
          <w:rFonts w:ascii="Arial" w:hAnsi="Arial" w:cs="Arial"/>
          <w:sz w:val="24"/>
          <w:szCs w:val="24"/>
        </w:rPr>
        <w:t xml:space="preserve"> (A)</w:t>
      </w:r>
      <w:r w:rsidRPr="002A5FF4">
        <w:rPr>
          <w:rFonts w:ascii="Arial" w:hAnsi="Arial" w:cs="Arial"/>
          <w:sz w:val="24"/>
          <w:szCs w:val="24"/>
        </w:rPr>
        <w:t>, metastasis</w:t>
      </w:r>
      <w:r w:rsidR="00453F5C">
        <w:rPr>
          <w:rFonts w:ascii="Arial" w:hAnsi="Arial" w:cs="Arial"/>
          <w:sz w:val="24"/>
          <w:szCs w:val="24"/>
        </w:rPr>
        <w:t xml:space="preserve"> (B)</w:t>
      </w:r>
      <w:r w:rsidRPr="002A5FF4">
        <w:rPr>
          <w:rFonts w:ascii="Arial" w:hAnsi="Arial" w:cs="Arial"/>
          <w:sz w:val="24"/>
          <w:szCs w:val="24"/>
        </w:rPr>
        <w:t xml:space="preserve"> and immune response</w:t>
      </w:r>
      <w:r w:rsidR="00453F5C">
        <w:rPr>
          <w:rFonts w:ascii="Arial" w:hAnsi="Arial" w:cs="Arial"/>
          <w:sz w:val="24"/>
          <w:szCs w:val="24"/>
        </w:rPr>
        <w:t xml:space="preserve"> (C)</w:t>
      </w:r>
      <w:r w:rsidRPr="002A5FF4">
        <w:rPr>
          <w:rFonts w:ascii="Arial" w:hAnsi="Arial" w:cs="Arial"/>
          <w:sz w:val="24"/>
          <w:szCs w:val="24"/>
        </w:rPr>
        <w:t xml:space="preserve"> in ER+/HER2- subtype. ER+/HER2-, ER positive and HER2 negative</w:t>
      </w:r>
      <w:r>
        <w:rPr>
          <w:rFonts w:ascii="Arial" w:hAnsi="Arial" w:cs="Arial"/>
          <w:sz w:val="24"/>
          <w:szCs w:val="24"/>
        </w:rPr>
        <w:t>.</w:t>
      </w:r>
      <w:r w:rsidR="00036808">
        <w:rPr>
          <w:rFonts w:ascii="Arial" w:hAnsi="Arial" w:cs="Arial"/>
          <w:sz w:val="24"/>
          <w:szCs w:val="24"/>
        </w:rPr>
        <w:t xml:space="preserve"> </w:t>
      </w:r>
      <w:r w:rsidR="00036808" w:rsidRPr="00036808">
        <w:rPr>
          <w:rFonts w:ascii="Arial" w:hAnsi="Arial" w:cs="Arial"/>
          <w:sz w:val="24"/>
          <w:szCs w:val="24"/>
        </w:rPr>
        <w:t>NES, normalized enrichment score; FDR, false discovery rate. FDR &lt; 0.25 was considered statistically significant.</w:t>
      </w:r>
    </w:p>
    <w:p w14:paraId="2328B4C8" w14:textId="4D39ECAD" w:rsidR="008715BC" w:rsidRDefault="008715BC">
      <w:pPr>
        <w:rPr>
          <w:rFonts w:ascii="Arial" w:hAnsi="Arial" w:cs="Arial"/>
          <w:sz w:val="24"/>
          <w:szCs w:val="24"/>
        </w:rPr>
      </w:pPr>
    </w:p>
    <w:p w14:paraId="4749481A" w14:textId="362C7504" w:rsidR="008715BC" w:rsidRDefault="00510DFA" w:rsidP="008715BC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3F934A8" wp14:editId="038F4DC8">
            <wp:extent cx="5038725" cy="67256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302" cy="6747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60C01" w14:textId="77777777" w:rsidR="008715BC" w:rsidRPr="002A5FF4" w:rsidRDefault="008715BC" w:rsidP="008715BC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</w:p>
    <w:p w14:paraId="726067CD" w14:textId="11D3255E" w:rsidR="00036808" w:rsidRDefault="008715BC" w:rsidP="00036808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  <w:r w:rsidRPr="002A5FF4">
        <w:rPr>
          <w:rFonts w:ascii="Arial" w:hAnsi="Arial" w:cs="Arial"/>
          <w:b/>
          <w:bCs/>
          <w:sz w:val="24"/>
          <w:szCs w:val="24"/>
        </w:rPr>
        <w:t>Supplementary Figure S</w:t>
      </w:r>
      <w:r w:rsidR="00F7590E">
        <w:rPr>
          <w:rFonts w:ascii="Arial" w:hAnsi="Arial" w:cs="Arial"/>
          <w:b/>
          <w:bCs/>
          <w:sz w:val="24"/>
          <w:szCs w:val="24"/>
        </w:rPr>
        <w:t>4</w:t>
      </w:r>
      <w:r w:rsidRPr="002A5FF4">
        <w:rPr>
          <w:rFonts w:ascii="Arial" w:hAnsi="Arial" w:cs="Arial"/>
          <w:b/>
          <w:bCs/>
          <w:sz w:val="24"/>
          <w:szCs w:val="24"/>
        </w:rPr>
        <w:t>.</w:t>
      </w:r>
      <w:r w:rsidRPr="002A5FF4">
        <w:rPr>
          <w:rFonts w:ascii="Arial" w:hAnsi="Arial" w:cs="Arial"/>
          <w:sz w:val="24"/>
          <w:szCs w:val="24"/>
        </w:rPr>
        <w:t xml:space="preserve"> </w:t>
      </w:r>
      <w:r w:rsidR="002832B4">
        <w:rPr>
          <w:rFonts w:ascii="Arial" w:hAnsi="Arial" w:cs="Arial"/>
          <w:sz w:val="24"/>
          <w:szCs w:val="24"/>
        </w:rPr>
        <w:t>Intratumoral-high</w:t>
      </w:r>
      <w:r w:rsidR="002832B4" w:rsidRPr="002A5FF4">
        <w:rPr>
          <w:rFonts w:ascii="Arial" w:hAnsi="Arial" w:cs="Arial"/>
          <w:sz w:val="24"/>
          <w:szCs w:val="24"/>
        </w:rPr>
        <w:t xml:space="preserve"> adipocyte </w:t>
      </w:r>
      <w:r w:rsidRPr="002832B4">
        <w:rPr>
          <w:rFonts w:ascii="Arial" w:hAnsi="Arial" w:cs="Arial"/>
          <w:sz w:val="24"/>
          <w:szCs w:val="24"/>
        </w:rPr>
        <w:t xml:space="preserve">tumors </w:t>
      </w:r>
      <w:r w:rsidR="00C4509D" w:rsidRPr="002832B4">
        <w:rPr>
          <w:rFonts w:ascii="Arial" w:hAnsi="Arial" w:cs="Arial"/>
          <w:sz w:val="24"/>
          <w:szCs w:val="24"/>
        </w:rPr>
        <w:t xml:space="preserve">are </w:t>
      </w:r>
      <w:r w:rsidRPr="002832B4">
        <w:rPr>
          <w:rFonts w:ascii="Arial" w:hAnsi="Arial" w:cs="Arial"/>
          <w:sz w:val="24"/>
          <w:szCs w:val="24"/>
        </w:rPr>
        <w:t xml:space="preserve">enriched </w:t>
      </w:r>
      <w:r w:rsidR="00C4509D" w:rsidRPr="002832B4">
        <w:rPr>
          <w:rFonts w:ascii="Arial" w:hAnsi="Arial" w:cs="Arial"/>
          <w:sz w:val="24"/>
          <w:szCs w:val="24"/>
        </w:rPr>
        <w:t>for</w:t>
      </w:r>
      <w:r w:rsidRPr="002832B4">
        <w:rPr>
          <w:rFonts w:ascii="Arial" w:hAnsi="Arial" w:cs="Arial"/>
          <w:sz w:val="24"/>
          <w:szCs w:val="24"/>
        </w:rPr>
        <w:t xml:space="preserve"> gene sets related with inflammation</w:t>
      </w:r>
      <w:r w:rsidR="00C4509D" w:rsidRPr="002832B4">
        <w:rPr>
          <w:rFonts w:ascii="Arial" w:hAnsi="Arial" w:cs="Arial"/>
          <w:sz w:val="24"/>
          <w:szCs w:val="24"/>
        </w:rPr>
        <w:t xml:space="preserve"> (A)</w:t>
      </w:r>
      <w:r w:rsidRPr="002832B4">
        <w:rPr>
          <w:rFonts w:ascii="Arial" w:hAnsi="Arial" w:cs="Arial"/>
          <w:sz w:val="24"/>
          <w:szCs w:val="24"/>
        </w:rPr>
        <w:t>, metastasis</w:t>
      </w:r>
      <w:r w:rsidR="00C4509D" w:rsidRPr="002832B4">
        <w:rPr>
          <w:rFonts w:ascii="Arial" w:hAnsi="Arial" w:cs="Arial"/>
          <w:sz w:val="24"/>
          <w:szCs w:val="24"/>
        </w:rPr>
        <w:t xml:space="preserve"> (B)</w:t>
      </w:r>
      <w:r w:rsidRPr="002832B4">
        <w:rPr>
          <w:rFonts w:ascii="Arial" w:hAnsi="Arial" w:cs="Arial"/>
          <w:sz w:val="24"/>
          <w:szCs w:val="24"/>
        </w:rPr>
        <w:t xml:space="preserve"> and immune response</w:t>
      </w:r>
      <w:r w:rsidR="00C4509D" w:rsidRPr="002832B4">
        <w:rPr>
          <w:rFonts w:ascii="Arial" w:hAnsi="Arial" w:cs="Arial"/>
          <w:sz w:val="24"/>
          <w:szCs w:val="24"/>
        </w:rPr>
        <w:t xml:space="preserve"> (C)</w:t>
      </w:r>
      <w:r w:rsidRPr="002832B4">
        <w:rPr>
          <w:rFonts w:ascii="Arial" w:hAnsi="Arial" w:cs="Arial"/>
          <w:sz w:val="24"/>
          <w:szCs w:val="24"/>
        </w:rPr>
        <w:t xml:space="preserve"> in </w:t>
      </w:r>
      <w:r w:rsidR="00C4509D" w:rsidRPr="002832B4">
        <w:rPr>
          <w:rFonts w:ascii="Arial" w:hAnsi="Arial" w:cs="Arial"/>
          <w:sz w:val="24"/>
          <w:szCs w:val="24"/>
        </w:rPr>
        <w:t xml:space="preserve">the </w:t>
      </w:r>
      <w:r w:rsidRPr="002832B4">
        <w:rPr>
          <w:rFonts w:ascii="Arial" w:hAnsi="Arial" w:cs="Arial"/>
          <w:sz w:val="24"/>
          <w:szCs w:val="24"/>
        </w:rPr>
        <w:t>TNBC subtype. TNBC, triple negative breast cancer.</w:t>
      </w:r>
      <w:r w:rsidR="00036808">
        <w:rPr>
          <w:rFonts w:ascii="Arial" w:hAnsi="Arial" w:cs="Arial"/>
          <w:sz w:val="24"/>
          <w:szCs w:val="24"/>
        </w:rPr>
        <w:t xml:space="preserve"> </w:t>
      </w:r>
      <w:r w:rsidR="00036808" w:rsidRPr="00036808">
        <w:rPr>
          <w:rFonts w:ascii="Arial" w:hAnsi="Arial" w:cs="Arial"/>
          <w:sz w:val="24"/>
          <w:szCs w:val="24"/>
        </w:rPr>
        <w:t>NES, normalized enrichment score; FDR, false discovery rate. FDR &lt; 0.25 was considered statistically significant.</w:t>
      </w:r>
    </w:p>
    <w:p w14:paraId="02F190A2" w14:textId="383207C2" w:rsidR="008715BC" w:rsidRPr="002A5FF4" w:rsidRDefault="008715BC" w:rsidP="00C4509D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</w:p>
    <w:p w14:paraId="70423ECB" w14:textId="42398BAE" w:rsidR="008715BC" w:rsidRDefault="008715BC"/>
    <w:p w14:paraId="240E2534" w14:textId="41E25C63" w:rsidR="008715BC" w:rsidRDefault="00510DFA" w:rsidP="008715BC">
      <w:pPr>
        <w:ind w:left="540" w:right="720"/>
        <w:jc w:val="center"/>
      </w:pPr>
      <w:r>
        <w:rPr>
          <w:noProof/>
        </w:rPr>
        <w:drawing>
          <wp:inline distT="0" distB="0" distL="0" distR="0" wp14:anchorId="6C6CE5E2" wp14:editId="7CB778AA">
            <wp:extent cx="5271135" cy="2520977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169"/>
                    <a:stretch/>
                  </pic:blipFill>
                  <pic:spPr bwMode="auto">
                    <a:xfrm>
                      <a:off x="0" y="0"/>
                      <a:ext cx="5304657" cy="253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7B2ADD" w14:textId="69F15C3E" w:rsidR="00036808" w:rsidRDefault="008715BC" w:rsidP="00036808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  <w:r w:rsidRPr="002A5FF4">
        <w:rPr>
          <w:rFonts w:ascii="Arial" w:hAnsi="Arial" w:cs="Arial"/>
          <w:b/>
          <w:bCs/>
          <w:sz w:val="24"/>
          <w:szCs w:val="24"/>
        </w:rPr>
        <w:t>Supplementary Figure S</w:t>
      </w:r>
      <w:r w:rsidR="00F7590E">
        <w:rPr>
          <w:rFonts w:ascii="Arial" w:hAnsi="Arial" w:cs="Arial"/>
          <w:b/>
          <w:bCs/>
          <w:sz w:val="24"/>
          <w:szCs w:val="24"/>
        </w:rPr>
        <w:t>5</w:t>
      </w:r>
      <w:r w:rsidRPr="002A5FF4">
        <w:rPr>
          <w:rFonts w:ascii="Arial" w:hAnsi="Arial" w:cs="Arial"/>
          <w:b/>
          <w:bCs/>
          <w:sz w:val="24"/>
          <w:szCs w:val="24"/>
        </w:rPr>
        <w:t xml:space="preserve">. </w:t>
      </w:r>
      <w:r w:rsidRPr="002A5FF4">
        <w:rPr>
          <w:rFonts w:ascii="Arial" w:hAnsi="Arial" w:cs="Arial"/>
          <w:sz w:val="24"/>
          <w:szCs w:val="24"/>
        </w:rPr>
        <w:t xml:space="preserve">GSEA demonstrated that the </w:t>
      </w:r>
      <w:r w:rsidR="002832B4">
        <w:rPr>
          <w:rFonts w:ascii="Arial" w:hAnsi="Arial" w:cs="Arial"/>
          <w:sz w:val="24"/>
          <w:szCs w:val="24"/>
        </w:rPr>
        <w:t xml:space="preserve">intratumoral </w:t>
      </w:r>
      <w:r w:rsidRPr="002A5FF4">
        <w:rPr>
          <w:rFonts w:ascii="Arial" w:hAnsi="Arial" w:cs="Arial"/>
          <w:sz w:val="24"/>
          <w:szCs w:val="24"/>
        </w:rPr>
        <w:t>adipocyte</w:t>
      </w:r>
      <w:r w:rsidR="002832B4">
        <w:rPr>
          <w:rFonts w:ascii="Arial" w:hAnsi="Arial" w:cs="Arial"/>
          <w:sz w:val="24"/>
          <w:szCs w:val="24"/>
        </w:rPr>
        <w:t>-</w:t>
      </w:r>
      <w:r w:rsidRPr="002A5FF4">
        <w:rPr>
          <w:rFonts w:ascii="Arial" w:hAnsi="Arial" w:cs="Arial"/>
          <w:sz w:val="24"/>
          <w:szCs w:val="24"/>
        </w:rPr>
        <w:t>low tumors enriched the gene sets associated with cell cycle and cell proliferation in ER+/HER2- subtype. ER+/HER2-, ER positive and HER2 negative</w:t>
      </w:r>
      <w:r>
        <w:rPr>
          <w:rFonts w:ascii="Arial" w:hAnsi="Arial" w:cs="Arial"/>
          <w:sz w:val="24"/>
          <w:szCs w:val="24"/>
        </w:rPr>
        <w:t>.</w:t>
      </w:r>
      <w:r w:rsidR="00036808" w:rsidRPr="00036808">
        <w:rPr>
          <w:rFonts w:ascii="Arial" w:hAnsi="Arial" w:cs="Arial"/>
          <w:sz w:val="24"/>
          <w:szCs w:val="24"/>
        </w:rPr>
        <w:t xml:space="preserve"> NES, normalized enrichment score; FDR, false discovery rate. FDR &lt; 0.25 was considered statistically significant.</w:t>
      </w:r>
    </w:p>
    <w:p w14:paraId="60116EB7" w14:textId="36962691" w:rsidR="008715BC" w:rsidRDefault="008715BC" w:rsidP="008715BC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</w:p>
    <w:p w14:paraId="1ECEAA72" w14:textId="796DA5DC" w:rsidR="008715BC" w:rsidRDefault="008715BC" w:rsidP="008715BC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</w:p>
    <w:p w14:paraId="7E80EFF0" w14:textId="068F0F0F" w:rsidR="008715BC" w:rsidRDefault="008715BC" w:rsidP="008715BC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</w:p>
    <w:p w14:paraId="3941779C" w14:textId="2E270BE3" w:rsidR="008715BC" w:rsidRDefault="00510DFA" w:rsidP="008715BC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30F89CC" wp14:editId="6A210A90">
            <wp:extent cx="5166861" cy="2381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5472"/>
                    <a:stretch/>
                  </pic:blipFill>
                  <pic:spPr bwMode="auto">
                    <a:xfrm>
                      <a:off x="0" y="0"/>
                      <a:ext cx="5201698" cy="23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44A631" w14:textId="77777777" w:rsidR="0024748C" w:rsidRDefault="0024748C" w:rsidP="008715BC">
      <w:pPr>
        <w:pStyle w:val="NoSpacing"/>
        <w:ind w:left="540" w:right="720"/>
        <w:jc w:val="center"/>
        <w:rPr>
          <w:rFonts w:ascii="Arial" w:hAnsi="Arial" w:cs="Arial"/>
          <w:sz w:val="24"/>
          <w:szCs w:val="24"/>
        </w:rPr>
      </w:pPr>
    </w:p>
    <w:p w14:paraId="6857DE27" w14:textId="42F5E2E6" w:rsidR="00036808" w:rsidRDefault="008715BC" w:rsidP="00036808">
      <w:pPr>
        <w:pStyle w:val="NoSpacing"/>
        <w:ind w:left="540" w:right="720"/>
        <w:jc w:val="both"/>
        <w:rPr>
          <w:rFonts w:ascii="Arial" w:hAnsi="Arial" w:cs="Arial"/>
          <w:sz w:val="24"/>
          <w:szCs w:val="24"/>
        </w:rPr>
      </w:pPr>
      <w:r w:rsidRPr="002A5FF4">
        <w:rPr>
          <w:rFonts w:ascii="Arial" w:hAnsi="Arial" w:cs="Arial"/>
          <w:b/>
          <w:bCs/>
          <w:sz w:val="24"/>
          <w:szCs w:val="24"/>
        </w:rPr>
        <w:t>Supplementary Figure S</w:t>
      </w:r>
      <w:r w:rsidR="00F7590E">
        <w:rPr>
          <w:rFonts w:ascii="Arial" w:hAnsi="Arial" w:cs="Arial"/>
          <w:b/>
          <w:bCs/>
          <w:sz w:val="24"/>
          <w:szCs w:val="24"/>
        </w:rPr>
        <w:t>6</w:t>
      </w:r>
      <w:r w:rsidRPr="002A5FF4">
        <w:rPr>
          <w:rFonts w:ascii="Arial" w:hAnsi="Arial" w:cs="Arial"/>
          <w:b/>
          <w:bCs/>
          <w:sz w:val="24"/>
          <w:szCs w:val="24"/>
        </w:rPr>
        <w:t xml:space="preserve">. </w:t>
      </w:r>
      <w:r w:rsidRPr="002A5FF4">
        <w:rPr>
          <w:rFonts w:ascii="Arial" w:hAnsi="Arial" w:cs="Arial"/>
          <w:sz w:val="24"/>
          <w:szCs w:val="24"/>
        </w:rPr>
        <w:t xml:space="preserve">GSEA demonstrated that the </w:t>
      </w:r>
      <w:r w:rsidR="002832B4">
        <w:rPr>
          <w:rFonts w:ascii="Arial" w:hAnsi="Arial" w:cs="Arial"/>
          <w:sz w:val="24"/>
          <w:szCs w:val="24"/>
        </w:rPr>
        <w:t xml:space="preserve">intratumoral </w:t>
      </w:r>
      <w:r w:rsidRPr="002A5FF4">
        <w:rPr>
          <w:rFonts w:ascii="Arial" w:hAnsi="Arial" w:cs="Arial"/>
          <w:sz w:val="24"/>
          <w:szCs w:val="24"/>
        </w:rPr>
        <w:t>adipocyte</w:t>
      </w:r>
      <w:r w:rsidR="002832B4">
        <w:rPr>
          <w:rFonts w:ascii="Arial" w:hAnsi="Arial" w:cs="Arial"/>
          <w:sz w:val="24"/>
          <w:szCs w:val="24"/>
        </w:rPr>
        <w:t>-</w:t>
      </w:r>
      <w:r w:rsidRPr="002A5FF4">
        <w:rPr>
          <w:rFonts w:ascii="Arial" w:hAnsi="Arial" w:cs="Arial"/>
          <w:sz w:val="24"/>
          <w:szCs w:val="24"/>
        </w:rPr>
        <w:t>low tumors enriched the gene sets associated with cell cycle and cell proliferation in TNBC subtype. TNBC, triple negative breast cancer</w:t>
      </w:r>
      <w:r>
        <w:rPr>
          <w:rFonts w:ascii="Arial" w:hAnsi="Arial" w:cs="Arial"/>
          <w:sz w:val="24"/>
          <w:szCs w:val="24"/>
        </w:rPr>
        <w:t>.</w:t>
      </w:r>
      <w:r w:rsidR="00036808" w:rsidRPr="00036808">
        <w:rPr>
          <w:rFonts w:ascii="Arial" w:hAnsi="Arial" w:cs="Arial"/>
          <w:sz w:val="24"/>
          <w:szCs w:val="24"/>
        </w:rPr>
        <w:t xml:space="preserve"> NES, normalized enrichment score; FDR, false discovery rate. FDR &lt; 0.25 was considered statistically significant.</w:t>
      </w:r>
    </w:p>
    <w:p w14:paraId="1F12AC96" w14:textId="631AEDAF" w:rsidR="008715BC" w:rsidRDefault="008715BC" w:rsidP="004918F1">
      <w:pPr>
        <w:ind w:right="720"/>
        <w:jc w:val="both"/>
      </w:pPr>
    </w:p>
    <w:sectPr w:rsidR="00871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62D1A" w14:textId="77777777" w:rsidR="00884C61" w:rsidRDefault="00884C61" w:rsidP="00884C61">
      <w:pPr>
        <w:spacing w:after="0" w:line="240" w:lineRule="auto"/>
      </w:pPr>
      <w:r>
        <w:separator/>
      </w:r>
    </w:p>
  </w:endnote>
  <w:endnote w:type="continuationSeparator" w:id="0">
    <w:p w14:paraId="7595768E" w14:textId="77777777" w:rsidR="00884C61" w:rsidRDefault="00884C61" w:rsidP="0088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1B9F8" w14:textId="77777777" w:rsidR="00884C61" w:rsidRDefault="00884C61" w:rsidP="00884C61">
      <w:pPr>
        <w:spacing w:after="0" w:line="240" w:lineRule="auto"/>
      </w:pPr>
      <w:r>
        <w:separator/>
      </w:r>
    </w:p>
  </w:footnote>
  <w:footnote w:type="continuationSeparator" w:id="0">
    <w:p w14:paraId="0E64A982" w14:textId="77777777" w:rsidR="00884C61" w:rsidRDefault="00884C61" w:rsidP="00884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Molecular Scienc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2d9de5v9wzdpce55zhpexaderx0avtexdd0&quot;&gt;Adipocyte&lt;record-ids&gt;&lt;item&gt;47&lt;/item&gt;&lt;/record-ids&gt;&lt;/item&gt;&lt;/Libraries&gt;"/>
  </w:docVars>
  <w:rsids>
    <w:rsidRoot w:val="008715BC"/>
    <w:rsid w:val="00036808"/>
    <w:rsid w:val="0007524C"/>
    <w:rsid w:val="00097967"/>
    <w:rsid w:val="000F1438"/>
    <w:rsid w:val="00106AC6"/>
    <w:rsid w:val="0024748C"/>
    <w:rsid w:val="002832B4"/>
    <w:rsid w:val="002C63A4"/>
    <w:rsid w:val="00370080"/>
    <w:rsid w:val="0040472C"/>
    <w:rsid w:val="0043002F"/>
    <w:rsid w:val="004525C6"/>
    <w:rsid w:val="00453F5C"/>
    <w:rsid w:val="004918F1"/>
    <w:rsid w:val="004934E7"/>
    <w:rsid w:val="004B6670"/>
    <w:rsid w:val="00510DFA"/>
    <w:rsid w:val="005862D4"/>
    <w:rsid w:val="006252ED"/>
    <w:rsid w:val="0073279E"/>
    <w:rsid w:val="008715BC"/>
    <w:rsid w:val="00884C61"/>
    <w:rsid w:val="008C0FB2"/>
    <w:rsid w:val="009252F1"/>
    <w:rsid w:val="009D5B5E"/>
    <w:rsid w:val="00B02BCF"/>
    <w:rsid w:val="00BC767C"/>
    <w:rsid w:val="00C4509D"/>
    <w:rsid w:val="00C47197"/>
    <w:rsid w:val="00E64DDA"/>
    <w:rsid w:val="00F7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240639F"/>
  <w15:chartTrackingRefBased/>
  <w15:docId w15:val="{83D7EC51-DF87-492F-A2F4-BD9E9406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15BC"/>
    <w:pPr>
      <w:spacing w:after="0" w:line="240" w:lineRule="auto"/>
    </w:pPr>
  </w:style>
  <w:style w:type="table" w:styleId="TableGrid">
    <w:name w:val="Table Grid"/>
    <w:basedOn w:val="TableNormal"/>
    <w:uiPriority w:val="59"/>
    <w:rsid w:val="00452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4B667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B667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B6670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B6670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09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09D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4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C61"/>
  </w:style>
  <w:style w:type="paragraph" w:styleId="Footer">
    <w:name w:val="footer"/>
    <w:basedOn w:val="Normal"/>
    <w:link w:val="FooterChar"/>
    <w:uiPriority w:val="99"/>
    <w:unhideWhenUsed/>
    <w:rsid w:val="00884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2A31FB-6FA1-4A52-96DC-1E7BEEF5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Tokumaru, Yoshihisa</dc:creator>
  <cp:keywords/>
  <dc:description/>
  <cp:lastModifiedBy>Tokumaru, Yoshihisa</cp:lastModifiedBy>
  <cp:revision>5</cp:revision>
  <dcterms:created xsi:type="dcterms:W3CDTF">2020-08-07T20:45:00Z</dcterms:created>
  <dcterms:modified xsi:type="dcterms:W3CDTF">2020-08-08T01:45:00Z</dcterms:modified>
</cp:coreProperties>
</file>