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200" w:rsidRPr="005F3200" w:rsidRDefault="005F3200" w:rsidP="006E38F0">
      <w:pPr>
        <w:rPr>
          <w:b/>
          <w:bCs/>
          <w:sz w:val="28"/>
          <w:szCs w:val="28"/>
        </w:rPr>
      </w:pPr>
      <w:bookmarkStart w:id="0" w:name="_GoBack"/>
      <w:bookmarkEnd w:id="0"/>
      <w:r w:rsidRPr="005F3200">
        <w:rPr>
          <w:b/>
          <w:bCs/>
          <w:sz w:val="28"/>
          <w:szCs w:val="28"/>
        </w:rPr>
        <w:t>Supplementary Table 3</w:t>
      </w:r>
      <w:r>
        <w:rPr>
          <w:b/>
          <w:bCs/>
          <w:sz w:val="28"/>
          <w:szCs w:val="28"/>
        </w:rPr>
        <w:t>: Overlap among the DEGs of CLV3p and flg22</w:t>
      </w:r>
    </w:p>
    <w:p w:rsidR="006E38F0" w:rsidRPr="00C10848" w:rsidRDefault="006E38F0" w:rsidP="006E38F0">
      <w:pPr>
        <w:rPr>
          <w:b/>
          <w:bCs/>
        </w:rPr>
      </w:pPr>
      <w:r w:rsidRPr="00C10848">
        <w:rPr>
          <w:b/>
          <w:bCs/>
        </w:rPr>
        <w:t>7 common elements in "flg22 URGs" and "ClV3p DRGs":</w:t>
      </w:r>
    </w:p>
    <w:p w:rsidR="006E38F0" w:rsidRDefault="006E38F0" w:rsidP="006E38F0">
      <w:r>
        <w:t xml:space="preserve">AT1G08930: </w:t>
      </w:r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>a putative sucrose transporter whose gene expression is induced by dehydration and cold</w:t>
      </w:r>
    </w:p>
    <w:p w:rsidR="006E38F0" w:rsidRDefault="006E38F0" w:rsidP="006E38F0">
      <w:r>
        <w:t xml:space="preserve">AT2G28305: </w:t>
      </w:r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 xml:space="preserve">Cytokinin riboside 5'-monophosphate </w:t>
      </w:r>
      <w:proofErr w:type="spellStart"/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>phosphoribohydrolase</w:t>
      </w:r>
      <w:proofErr w:type="spellEnd"/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 xml:space="preserve"> LOG1</w:t>
      </w:r>
    </w:p>
    <w:p w:rsidR="006E38F0" w:rsidRDefault="006E38F0" w:rsidP="006E38F0">
      <w:r>
        <w:t xml:space="preserve">AT1G58340: </w:t>
      </w:r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>Functions as a multidrug and toxin extrusion transporter. </w:t>
      </w:r>
    </w:p>
    <w:p w:rsidR="006E38F0" w:rsidRDefault="006E38F0" w:rsidP="006E38F0">
      <w:r>
        <w:t xml:space="preserve">AT5G66320: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Encodes GATA transcription factor gene GNC, regulating carbon and nitrogen metabolism</w:t>
      </w:r>
    </w:p>
    <w:p w:rsidR="006E38F0" w:rsidRDefault="006E38F0" w:rsidP="006E38F0">
      <w:r>
        <w:t>AT1G14880</w:t>
      </w:r>
      <w:r w:rsidR="00C10848">
        <w:t xml:space="preserve">: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Protein PLANT CADMIUM RESISTANCE 1;</w:t>
      </w:r>
    </w:p>
    <w:p w:rsidR="006E38F0" w:rsidRDefault="006E38F0" w:rsidP="006E38F0">
      <w:r>
        <w:t>AT3G12700</w:t>
      </w:r>
      <w:r w:rsidR="00C10848">
        <w:t xml:space="preserve">: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Involved in the maintenance of the shoot apical meristem </w:t>
      </w:r>
    </w:p>
    <w:p w:rsidR="006E38F0" w:rsidRDefault="006E38F0" w:rsidP="006E38F0">
      <w:r>
        <w:t>AT4G14365</w:t>
      </w:r>
      <w:r w:rsidR="00C10848">
        <w:t xml:space="preserve">: 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Putative E3 ubiquitin-protein ligase XBAT34</w:t>
      </w:r>
    </w:p>
    <w:p w:rsidR="006E38F0" w:rsidRDefault="006E38F0" w:rsidP="006E38F0"/>
    <w:p w:rsidR="006E38F0" w:rsidRPr="00C10848" w:rsidRDefault="006E38F0" w:rsidP="006E38F0">
      <w:pPr>
        <w:rPr>
          <w:b/>
          <w:bCs/>
        </w:rPr>
      </w:pPr>
      <w:r w:rsidRPr="00C10848">
        <w:rPr>
          <w:b/>
          <w:bCs/>
        </w:rPr>
        <w:t>4 common e</w:t>
      </w:r>
      <w:r w:rsidR="00C10848">
        <w:rPr>
          <w:b/>
          <w:bCs/>
        </w:rPr>
        <w:t>lements in "flg22 URGs" and "CLV3p-U</w:t>
      </w:r>
      <w:r w:rsidRPr="00C10848">
        <w:rPr>
          <w:b/>
          <w:bCs/>
        </w:rPr>
        <w:t>RGs":</w:t>
      </w:r>
    </w:p>
    <w:p w:rsidR="006E38F0" w:rsidRDefault="006E38F0" w:rsidP="006E38F0">
      <w:r>
        <w:t>AT4G37370</w:t>
      </w:r>
      <w:r w:rsidR="00C10848">
        <w:t xml:space="preserve">: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Cytochrome P450, family 81, subfamily D, polypeptide 8;</w:t>
      </w:r>
    </w:p>
    <w:p w:rsidR="006E38F0" w:rsidRDefault="006E38F0" w:rsidP="006E38F0">
      <w:r>
        <w:t>AT3G25610</w:t>
      </w:r>
      <w:r w:rsidR="00C10848">
        <w:t xml:space="preserve">: </w:t>
      </w:r>
      <w:proofErr w:type="spellStart"/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haloacid</w:t>
      </w:r>
      <w:proofErr w:type="spellEnd"/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 xml:space="preserve"> dehalogenase-like hydrolase family protein; Involved in transport of phospholipids</w:t>
      </w:r>
    </w:p>
    <w:p w:rsidR="005F3200" w:rsidRDefault="005F3200" w:rsidP="005F3200">
      <w:pPr>
        <w:rPr>
          <w:rFonts w:ascii="Arial" w:hAnsi="Arial" w:cs="Arial"/>
          <w:color w:val="808080"/>
          <w:sz w:val="20"/>
          <w:szCs w:val="20"/>
          <w:shd w:val="clear" w:color="auto" w:fill="F7F6F2"/>
        </w:rPr>
      </w:pPr>
      <w:r w:rsidRPr="005F3200">
        <w:t xml:space="preserve"> </w:t>
      </w:r>
      <w:r>
        <w:t xml:space="preserve">AT2G32190: </w:t>
      </w:r>
      <w:r>
        <w:rPr>
          <w:rFonts w:ascii="Arial" w:hAnsi="Arial" w:cs="Arial"/>
          <w:color w:val="808080"/>
          <w:sz w:val="20"/>
          <w:szCs w:val="20"/>
          <w:shd w:val="clear" w:color="auto" w:fill="F7F6F2"/>
        </w:rPr>
        <w:t>Cysteine-rich/transmembrane domain A-like protein</w:t>
      </w:r>
    </w:p>
    <w:p w:rsidR="006E38F0" w:rsidRDefault="006E38F0" w:rsidP="006E38F0">
      <w:pPr>
        <w:rPr>
          <w:rFonts w:ascii="Arial" w:hAnsi="Arial" w:cs="Arial"/>
          <w:color w:val="808080"/>
          <w:sz w:val="20"/>
          <w:szCs w:val="20"/>
          <w:shd w:val="clear" w:color="auto" w:fill="F7F6F2"/>
        </w:rPr>
      </w:pPr>
      <w:r>
        <w:t>AT2G32190</w:t>
      </w:r>
      <w:r w:rsidR="00C10848">
        <w:t xml:space="preserve">: </w:t>
      </w:r>
      <w:r w:rsidR="00C10848">
        <w:rPr>
          <w:rFonts w:ascii="Arial" w:hAnsi="Arial" w:cs="Arial"/>
          <w:color w:val="808080"/>
          <w:sz w:val="20"/>
          <w:szCs w:val="20"/>
          <w:shd w:val="clear" w:color="auto" w:fill="F7F6F2"/>
        </w:rPr>
        <w:t>Cysteine-rich/transmembrane domain A-like protein</w:t>
      </w:r>
    </w:p>
    <w:p w:rsidR="00405791" w:rsidRDefault="00405791" w:rsidP="006E38F0">
      <w:pPr>
        <w:rPr>
          <w:rFonts w:ascii="Arial" w:hAnsi="Arial" w:cs="Arial"/>
          <w:color w:val="808080"/>
          <w:sz w:val="20"/>
          <w:szCs w:val="20"/>
          <w:shd w:val="clear" w:color="auto" w:fill="F7F6F2"/>
        </w:rPr>
      </w:pPr>
    </w:p>
    <w:p w:rsidR="00405791" w:rsidRPr="006E38F0" w:rsidRDefault="00405791" w:rsidP="00405791"/>
    <w:sectPr w:rsidR="00405791" w:rsidRPr="006E3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F0"/>
    <w:rsid w:val="00405791"/>
    <w:rsid w:val="004E037C"/>
    <w:rsid w:val="005F3200"/>
    <w:rsid w:val="006E38F0"/>
    <w:rsid w:val="008539D4"/>
    <w:rsid w:val="00C1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F13A3F-435D-4210-A125-D55798E2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Naseem</dc:creator>
  <cp:keywords/>
  <dc:description/>
  <cp:lastModifiedBy>Muhammad Naseem</cp:lastModifiedBy>
  <cp:revision>2</cp:revision>
  <dcterms:created xsi:type="dcterms:W3CDTF">2019-06-18T14:28:00Z</dcterms:created>
  <dcterms:modified xsi:type="dcterms:W3CDTF">2019-06-18T14:28:00Z</dcterms:modified>
</cp:coreProperties>
</file>