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CB" w:rsidRPr="006D559F" w:rsidRDefault="002056CB" w:rsidP="002056CB">
      <w:pPr>
        <w:pStyle w:val="MDPI52figure"/>
        <w:spacing w:before="240" w:after="240"/>
      </w:pPr>
      <w:r w:rsidRPr="006D559F">
        <w:rPr>
          <w:noProof/>
          <w:lang w:eastAsia="zh-TW" w:bidi="ar-SA"/>
        </w:rPr>
        <w:drawing>
          <wp:inline distT="0" distB="0" distL="0" distR="0" wp14:anchorId="2A8B65BF" wp14:editId="40CB2AAD">
            <wp:extent cx="4066309" cy="2613132"/>
            <wp:effectExtent l="0" t="0" r="0" b="0"/>
            <wp:docPr id="14" name="圖片 1" descr="D:\A長庚\論文發表\109論文發表\SCI CRC-CSC genomic expressional profiling analysis\New Figs\Fig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D:\A長庚\論文發表\109論文發表\SCI CRC-CSC genomic expressional profiling analysis\New Figs\Fig 001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134" cy="2618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6CB" w:rsidRPr="006D559F" w:rsidRDefault="002056CB" w:rsidP="002056CB">
      <w:pPr>
        <w:pStyle w:val="MDPI51figurecaption"/>
      </w:pPr>
      <w:r w:rsidRPr="002056CB">
        <w:rPr>
          <w:b/>
        </w:rPr>
        <w:t>Figure S1</w:t>
      </w:r>
      <w:r w:rsidRPr="00E71BC9">
        <w:rPr>
          <w:b/>
        </w:rPr>
        <w:t xml:space="preserve">. </w:t>
      </w:r>
      <w:r w:rsidRPr="00E71BC9">
        <w:rPr>
          <w:bCs/>
        </w:rPr>
        <w:t>CD133 expressed in colorectal HCT116 and HT29 tumor cells</w:t>
      </w:r>
      <w:r w:rsidRPr="006D559F">
        <w:rPr>
          <w:b/>
        </w:rPr>
        <w:t>.</w:t>
      </w:r>
      <w:r w:rsidRPr="006D559F">
        <w:t xml:space="preserve"> Flow cytometry revealed that both HCT116 and HT29 were CD133-positive and LGR5-negative. The cells were stained with anti-CD133-PE or anti-LGR5-PE for 30 </w:t>
      </w:r>
      <w:r>
        <w:t>min</w:t>
      </w:r>
      <w:r w:rsidRPr="006D559F">
        <w:t xml:space="preserve"> at room temperature. FL2-H presents PE signal.</w:t>
      </w:r>
    </w:p>
    <w:p w:rsidR="002056CB" w:rsidRPr="006D559F" w:rsidRDefault="002056CB" w:rsidP="002056CB">
      <w:pPr>
        <w:pStyle w:val="MDPI52figure"/>
      </w:pPr>
      <w:r w:rsidRPr="006D559F">
        <w:rPr>
          <w:rFonts w:eastAsia="標楷體"/>
          <w:noProof/>
          <w:lang w:eastAsia="zh-TW" w:bidi="ar-SA"/>
        </w:rPr>
        <w:drawing>
          <wp:inline distT="0" distB="0" distL="0" distR="0" wp14:anchorId="6B843E67" wp14:editId="4B5AED9A">
            <wp:extent cx="4696691" cy="1522290"/>
            <wp:effectExtent l="0" t="0" r="8890" b="1905"/>
            <wp:docPr id="16" name="圖片 16" descr="D:\A長庚\論文發表\109論文發表\SCI CRC-CSC genomic expressional profiling analysis\New Figs\Fig 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長庚\論文發表\109論文發表\SCI CRC-CSC genomic expressional profiling analysis\New Figs\Fig 003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0" t="61192" r="1525"/>
                    <a:stretch/>
                  </pic:blipFill>
                  <pic:spPr bwMode="auto">
                    <a:xfrm>
                      <a:off x="0" y="0"/>
                      <a:ext cx="4715544" cy="15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56CB" w:rsidRDefault="002056CB" w:rsidP="002056CB">
      <w:pPr>
        <w:pStyle w:val="MDPI51figurecaption"/>
        <w:rPr>
          <w:bCs/>
          <w:color w:val="auto"/>
        </w:rPr>
      </w:pPr>
      <w:r w:rsidRPr="002056CB">
        <w:rPr>
          <w:b/>
          <w:bCs/>
          <w:color w:val="auto"/>
        </w:rPr>
        <w:t>Figure S2.</w:t>
      </w:r>
      <w:r w:rsidRPr="006D559F">
        <w:rPr>
          <w:b/>
          <w:bCs/>
          <w:color w:val="auto"/>
        </w:rPr>
        <w:t xml:space="preserve"> </w:t>
      </w:r>
      <w:r w:rsidRPr="00E71BC9">
        <w:rPr>
          <w:bCs/>
          <w:color w:val="auto"/>
        </w:rPr>
        <w:t xml:space="preserve">Kaplan–Meier plots (http://kmplot.com/analysis/) revealed that a high miR-4251 level reduced the probability of survival in patients with </w:t>
      </w:r>
      <w:r w:rsidRPr="00E71BC9">
        <w:rPr>
          <w:bCs/>
          <w:szCs w:val="18"/>
        </w:rPr>
        <w:t>rectum adenocarcinoma</w:t>
      </w:r>
      <w:r w:rsidRPr="00E71BC9">
        <w:rPr>
          <w:bCs/>
          <w:i/>
          <w:color w:val="auto"/>
        </w:rPr>
        <w:t xml:space="preserve"> </w:t>
      </w:r>
      <w:r w:rsidRPr="00E71BC9">
        <w:rPr>
          <w:bCs/>
          <w:color w:val="auto"/>
        </w:rPr>
        <w:t xml:space="preserve">(n = 160, </w:t>
      </w:r>
      <w:r w:rsidRPr="00E71BC9">
        <w:rPr>
          <w:bCs/>
          <w:i/>
          <w:color w:val="auto"/>
        </w:rPr>
        <w:t>p</w:t>
      </w:r>
      <w:r w:rsidRPr="00E71BC9">
        <w:rPr>
          <w:bCs/>
          <w:color w:val="auto"/>
        </w:rPr>
        <w:t xml:space="preserve"> = 0.065); by contrast, the probability of survival increased following an increase in the miR-30a level (n = 160, </w:t>
      </w:r>
      <w:r w:rsidRPr="00E71BC9">
        <w:rPr>
          <w:bCs/>
          <w:i/>
          <w:color w:val="auto"/>
        </w:rPr>
        <w:t>p</w:t>
      </w:r>
      <w:r w:rsidRPr="00E71BC9">
        <w:rPr>
          <w:bCs/>
          <w:color w:val="auto"/>
        </w:rPr>
        <w:t xml:space="preserve"> = 0.059).</w:t>
      </w:r>
    </w:p>
    <w:p w:rsidR="002056CB" w:rsidRPr="006D559F" w:rsidRDefault="002056CB" w:rsidP="002056CB">
      <w:pPr>
        <w:pStyle w:val="MDPI52figure"/>
        <w:spacing w:before="240" w:after="240"/>
        <w:rPr>
          <w:rFonts w:eastAsia="標楷體"/>
        </w:rPr>
      </w:pPr>
      <w:r w:rsidRPr="00E71BC9">
        <w:rPr>
          <w:rFonts w:eastAsia="標楷體"/>
          <w:b/>
          <w:bCs/>
          <w:noProof/>
          <w:lang w:eastAsia="zh-TW" w:bidi="ar-SA"/>
        </w:rPr>
        <w:drawing>
          <wp:inline distT="0" distB="0" distL="0" distR="0" wp14:anchorId="7BE9937D" wp14:editId="4ACC21DD">
            <wp:extent cx="3865418" cy="1871057"/>
            <wp:effectExtent l="0" t="0" r="1905" b="0"/>
            <wp:docPr id="18" name="圖片 18" descr="D:\A長庚\論文發表\109論文發表\SCI CRC-CSC genomic expressional profiling analysis\New Figs\Fig 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長庚\論文發表\109論文發表\SCI CRC-CSC genomic expressional profiling analysis\New Figs\Fig S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457" cy="1880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938" w:rsidRPr="002056CB" w:rsidRDefault="002056CB" w:rsidP="002056CB">
      <w:pPr>
        <w:pStyle w:val="MDPI51figurecaption"/>
        <w:rPr>
          <w:rFonts w:eastAsia="標楷體" w:hint="eastAsia"/>
          <w:kern w:val="2"/>
        </w:rPr>
      </w:pPr>
      <w:r w:rsidRPr="002056CB">
        <w:rPr>
          <w:b/>
          <w:bCs/>
        </w:rPr>
        <w:t>Figure S3.</w:t>
      </w:r>
      <w:r w:rsidRPr="00E71BC9">
        <w:rPr>
          <w:b/>
          <w:bCs/>
        </w:rPr>
        <w:t xml:space="preserve"> </w:t>
      </w:r>
      <w:r w:rsidRPr="006D559F">
        <w:t xml:space="preserve">Kaplan–Meier plots revealed that a </w:t>
      </w:r>
      <w:r w:rsidRPr="006D559F">
        <w:rPr>
          <w:rFonts w:eastAsia="標楷體"/>
        </w:rPr>
        <w:t xml:space="preserve">high HSPA5 level was associated with poor survival (progression-free survival, PFS) in patients with rectum adenocarcinoma (n = 165, </w:t>
      </w:r>
      <w:r w:rsidRPr="006D559F">
        <w:rPr>
          <w:rFonts w:eastAsia="標楷體"/>
          <w:i/>
        </w:rPr>
        <w:t>p</w:t>
      </w:r>
      <w:r w:rsidRPr="006D559F">
        <w:rPr>
          <w:rFonts w:eastAsia="標楷體"/>
        </w:rPr>
        <w:t xml:space="preserve"> = 0.12).</w:t>
      </w:r>
      <w:bookmarkStart w:id="0" w:name="_GoBack"/>
      <w:bookmarkEnd w:id="0"/>
    </w:p>
    <w:sectPr w:rsidR="007A0938" w:rsidRPr="002056CB" w:rsidSect="002056CB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2AB" w:rsidRDefault="004F22AB" w:rsidP="002056CB">
      <w:r>
        <w:separator/>
      </w:r>
    </w:p>
  </w:endnote>
  <w:endnote w:type="continuationSeparator" w:id="0">
    <w:p w:rsidR="004F22AB" w:rsidRDefault="004F22AB" w:rsidP="002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2AB" w:rsidRDefault="004F22AB" w:rsidP="002056CB">
      <w:r>
        <w:separator/>
      </w:r>
    </w:p>
  </w:footnote>
  <w:footnote w:type="continuationSeparator" w:id="0">
    <w:p w:rsidR="004F22AB" w:rsidRDefault="004F22AB" w:rsidP="002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34"/>
    <w:rsid w:val="000676CF"/>
    <w:rsid w:val="002056CB"/>
    <w:rsid w:val="00336134"/>
    <w:rsid w:val="004F22AB"/>
    <w:rsid w:val="0073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BEC98"/>
  <w15:chartTrackingRefBased/>
  <w15:docId w15:val="{62FE8F3F-5EC4-4BE4-ABC2-AA4E242B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6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56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56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56CB"/>
    <w:rPr>
      <w:sz w:val="20"/>
      <w:szCs w:val="20"/>
    </w:rPr>
  </w:style>
  <w:style w:type="paragraph" w:customStyle="1" w:styleId="MDPI51figurecaption">
    <w:name w:val="MDPI_5.1_figure_caption"/>
    <w:basedOn w:val="a"/>
    <w:qFormat/>
    <w:rsid w:val="002056CB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2056CB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character" w:styleId="a7">
    <w:name w:val="annotation reference"/>
    <w:uiPriority w:val="99"/>
    <w:semiHidden/>
    <w:unhideWhenUsed/>
    <w:rsid w:val="002056CB"/>
    <w:rPr>
      <w:sz w:val="18"/>
      <w:szCs w:val="18"/>
    </w:rPr>
  </w:style>
  <w:style w:type="paragraph" w:styleId="a8">
    <w:name w:val="annotation text"/>
    <w:aliases w:val=" 字元"/>
    <w:basedOn w:val="a"/>
    <w:link w:val="a9"/>
    <w:unhideWhenUsed/>
    <w:rsid w:val="002056CB"/>
    <w:pPr>
      <w:widowControl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註解文字 字元"/>
    <w:aliases w:val=" 字元 字元"/>
    <w:basedOn w:val="a0"/>
    <w:link w:val="a8"/>
    <w:rsid w:val="002056CB"/>
    <w:rPr>
      <w:rFonts w:ascii="新細明體" w:eastAsia="新細明體" w:hAnsi="新細明體" w:cs="新細明體"/>
      <w:kern w:val="0"/>
      <w:szCs w:val="24"/>
    </w:rPr>
  </w:style>
  <w:style w:type="character" w:customStyle="1" w:styleId="tlid-translation">
    <w:name w:val="tlid-translation"/>
    <w:basedOn w:val="a0"/>
    <w:rsid w:val="002056CB"/>
  </w:style>
  <w:style w:type="paragraph" w:styleId="aa">
    <w:name w:val="Balloon Text"/>
    <w:basedOn w:val="a"/>
    <w:link w:val="ab"/>
    <w:uiPriority w:val="99"/>
    <w:semiHidden/>
    <w:unhideWhenUsed/>
    <w:rsid w:val="002056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056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csmeow</dc:creator>
  <cp:keywords/>
  <dc:description/>
  <cp:lastModifiedBy>csmeow</cp:lastModifiedBy>
  <cp:revision>2</cp:revision>
  <dcterms:created xsi:type="dcterms:W3CDTF">2020-10-02T15:08:00Z</dcterms:created>
  <dcterms:modified xsi:type="dcterms:W3CDTF">2020-10-02T15:18:00Z</dcterms:modified>
</cp:coreProperties>
</file>