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10" w:rsidRDefault="00E60C10">
      <w:bookmarkStart w:id="0" w:name="_GoBack"/>
      <w:bookmarkEnd w:id="0"/>
    </w:p>
    <w:p w:rsidR="00E60C10" w:rsidRDefault="00E60C10"/>
    <w:p w:rsidR="00FC7B71" w:rsidRPr="0063138A" w:rsidRDefault="001E6D81" w:rsidP="00E60C10">
      <w:r>
        <w:rPr>
          <w:noProof/>
          <w:lang w:val="de-DE" w:eastAsia="de-DE"/>
        </w:rPr>
        <w:drawing>
          <wp:inline distT="0" distB="0" distL="0" distR="0" wp14:anchorId="590CE350">
            <wp:extent cx="5328356" cy="425373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860" cy="4262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0C10" w:rsidRPr="0063138A" w:rsidRDefault="0063138A" w:rsidP="00362F3D">
      <w:pPr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</w:rPr>
        <w:t xml:space="preserve">Figure </w:t>
      </w:r>
      <w:r w:rsidR="00362F3D">
        <w:rPr>
          <w:rFonts w:ascii="Palatino Linotype" w:hAnsi="Palatino Linotype"/>
          <w:b/>
          <w:sz w:val="18"/>
          <w:szCs w:val="18"/>
        </w:rPr>
        <w:t>S</w:t>
      </w:r>
      <w:r>
        <w:rPr>
          <w:rFonts w:ascii="Palatino Linotype" w:hAnsi="Palatino Linotype"/>
          <w:b/>
          <w:sz w:val="18"/>
          <w:szCs w:val="18"/>
        </w:rPr>
        <w:t>1</w:t>
      </w:r>
      <w:r w:rsidR="00E60C10" w:rsidRPr="0063138A">
        <w:rPr>
          <w:rFonts w:ascii="Palatino Linotype" w:hAnsi="Palatino Linotype"/>
          <w:sz w:val="18"/>
          <w:szCs w:val="18"/>
        </w:rPr>
        <w:t xml:space="preserve">. </w:t>
      </w:r>
      <w:proofErr w:type="gramStart"/>
      <w:r w:rsidR="00E60C10" w:rsidRPr="0063138A">
        <w:rPr>
          <w:rFonts w:ascii="Palatino Linotype" w:hAnsi="Palatino Linotype"/>
          <w:sz w:val="18"/>
          <w:szCs w:val="18"/>
        </w:rPr>
        <w:t>mRNA</w:t>
      </w:r>
      <w:proofErr w:type="gramEnd"/>
      <w:r w:rsidR="00E60C10" w:rsidRPr="0063138A">
        <w:rPr>
          <w:rFonts w:ascii="Palatino Linotype" w:hAnsi="Palatino Linotype"/>
          <w:sz w:val="18"/>
          <w:szCs w:val="18"/>
        </w:rPr>
        <w:t xml:space="preserve"> expression changes of </w:t>
      </w:r>
      <w:proofErr w:type="spellStart"/>
      <w:r w:rsidR="00E60C10" w:rsidRPr="0063138A">
        <w:rPr>
          <w:rFonts w:ascii="Palatino Linotype" w:hAnsi="Palatino Linotype"/>
          <w:sz w:val="18"/>
          <w:szCs w:val="18"/>
        </w:rPr>
        <w:t>ENaC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 xml:space="preserve"> subunits (-α, -β, -γ) in HT-29/B6-GR/MR cells 48 hours after </w:t>
      </w:r>
      <w:proofErr w:type="spellStart"/>
      <w:r w:rsidR="00E60C10" w:rsidRPr="0063138A">
        <w:rPr>
          <w:rFonts w:ascii="Palatino Linotype" w:hAnsi="Palatino Linotype"/>
          <w:i/>
          <w:sz w:val="18"/>
          <w:szCs w:val="18"/>
        </w:rPr>
        <w:t>Camplyobacter</w:t>
      </w:r>
      <w:proofErr w:type="spellEnd"/>
      <w:r w:rsidR="00E60C10" w:rsidRPr="0063138A">
        <w:rPr>
          <w:rFonts w:ascii="Palatino Linotype" w:hAnsi="Palatino Linotype"/>
          <w:i/>
          <w:sz w:val="18"/>
          <w:szCs w:val="18"/>
        </w:rPr>
        <w:t xml:space="preserve"> </w:t>
      </w:r>
      <w:proofErr w:type="spellStart"/>
      <w:r w:rsidR="00E60C10" w:rsidRPr="0063138A">
        <w:rPr>
          <w:rFonts w:ascii="Palatino Linotype" w:hAnsi="Palatino Linotype"/>
          <w:i/>
          <w:sz w:val="18"/>
          <w:szCs w:val="18"/>
        </w:rPr>
        <w:t>concisus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 xml:space="preserve"> infe</w:t>
      </w:r>
      <w:r w:rsidR="00887A2A">
        <w:rPr>
          <w:rFonts w:ascii="Palatino Linotype" w:hAnsi="Palatino Linotype"/>
          <w:sz w:val="18"/>
          <w:szCs w:val="18"/>
        </w:rPr>
        <w:t xml:space="preserve">ction. (A) </w:t>
      </w:r>
      <w:proofErr w:type="gramStart"/>
      <w:r w:rsidR="00887A2A">
        <w:rPr>
          <w:rFonts w:ascii="Palatino Linotype" w:hAnsi="Palatino Linotype"/>
          <w:sz w:val="18"/>
          <w:szCs w:val="18"/>
        </w:rPr>
        <w:t>mRNA</w:t>
      </w:r>
      <w:proofErr w:type="gramEnd"/>
      <w:r w:rsidR="00887A2A">
        <w:rPr>
          <w:rFonts w:ascii="Palatino Linotype" w:hAnsi="Palatino Linotype"/>
          <w:sz w:val="18"/>
          <w:szCs w:val="18"/>
        </w:rPr>
        <w:t xml:space="preserve"> expression of α</w:t>
      </w:r>
      <w:r w:rsidR="00E60C10" w:rsidRPr="0063138A">
        <w:rPr>
          <w:rFonts w:ascii="Palatino Linotype" w:hAnsi="Palatino Linotype"/>
          <w:sz w:val="18"/>
          <w:szCs w:val="18"/>
        </w:rPr>
        <w:t>-</w:t>
      </w:r>
      <w:proofErr w:type="spellStart"/>
      <w:r w:rsidR="00E60C10" w:rsidRPr="0063138A">
        <w:rPr>
          <w:rFonts w:ascii="Palatino Linotype" w:hAnsi="Palatino Linotype"/>
          <w:sz w:val="18"/>
          <w:szCs w:val="18"/>
        </w:rPr>
        <w:t>ENaC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 xml:space="preserve"> gene (</w:t>
      </w:r>
      <w:r w:rsidR="00E60C10" w:rsidRPr="0063138A">
        <w:rPr>
          <w:rFonts w:ascii="Palatino Linotype" w:hAnsi="Palatino Linotype"/>
          <w:i/>
          <w:sz w:val="18"/>
          <w:szCs w:val="18"/>
        </w:rPr>
        <w:t>SCNN1A</w:t>
      </w:r>
      <w:r w:rsidR="00E60C10" w:rsidRPr="0063138A">
        <w:rPr>
          <w:rFonts w:ascii="Palatino Linotype" w:hAnsi="Palatino Linotype"/>
          <w:sz w:val="18"/>
          <w:szCs w:val="18"/>
        </w:rPr>
        <w:t>) in</w:t>
      </w:r>
      <w:r>
        <w:rPr>
          <w:rFonts w:ascii="Palatino Linotype" w:hAnsi="Palatino Linotype"/>
          <w:sz w:val="18"/>
          <w:szCs w:val="18"/>
        </w:rPr>
        <w:t xml:space="preserve"> controls,</w:t>
      </w:r>
      <w:r w:rsidR="00E60C10" w:rsidRPr="0063138A">
        <w:rPr>
          <w:rFonts w:ascii="Palatino Linotype" w:hAnsi="Palatino Linotype"/>
          <w:sz w:val="18"/>
          <w:szCs w:val="18"/>
        </w:rPr>
        <w:t xml:space="preserve"> DBA-stimulated controls and </w:t>
      </w:r>
      <w:r w:rsidR="00E60C10" w:rsidRPr="0063138A">
        <w:rPr>
          <w:rFonts w:ascii="Palatino Linotype" w:hAnsi="Palatino Linotype"/>
          <w:i/>
          <w:sz w:val="18"/>
          <w:szCs w:val="18"/>
        </w:rPr>
        <w:t xml:space="preserve">C. </w:t>
      </w:r>
      <w:proofErr w:type="spellStart"/>
      <w:r w:rsidR="00E60C10" w:rsidRPr="0063138A">
        <w:rPr>
          <w:rFonts w:ascii="Palatino Linotype" w:hAnsi="Palatino Linotype"/>
          <w:i/>
          <w:sz w:val="18"/>
          <w:szCs w:val="18"/>
        </w:rPr>
        <w:t>concisus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>-infected cell monolayers (n = 4 each, ns = not significant</w:t>
      </w:r>
      <w:r>
        <w:rPr>
          <w:rFonts w:ascii="Palatino Linotype" w:hAnsi="Palatino Linotype"/>
          <w:sz w:val="18"/>
          <w:szCs w:val="18"/>
        </w:rPr>
        <w:t xml:space="preserve">, </w:t>
      </w:r>
      <w:r w:rsidRPr="0063138A">
        <w:rPr>
          <w:rFonts w:ascii="Palatino Linotype" w:hAnsi="Palatino Linotype"/>
          <w:i/>
          <w:sz w:val="18"/>
          <w:szCs w:val="18"/>
        </w:rPr>
        <w:t>p</w:t>
      </w:r>
      <w:r>
        <w:rPr>
          <w:rFonts w:ascii="Palatino Linotype" w:hAnsi="Palatino Linotype"/>
          <w:sz w:val="18"/>
          <w:szCs w:val="18"/>
        </w:rPr>
        <w:t>&gt;0.05</w:t>
      </w:r>
      <w:r w:rsidR="00E60C10" w:rsidRPr="0063138A">
        <w:rPr>
          <w:rFonts w:ascii="Palatino Linotype" w:hAnsi="Palatino Linotype"/>
          <w:sz w:val="18"/>
          <w:szCs w:val="18"/>
        </w:rPr>
        <w:t xml:space="preserve">). (B) </w:t>
      </w:r>
      <w:proofErr w:type="gramStart"/>
      <w:r w:rsidR="00E60C10" w:rsidRPr="0063138A">
        <w:rPr>
          <w:rFonts w:ascii="Palatino Linotype" w:hAnsi="Palatino Linotype"/>
          <w:sz w:val="18"/>
          <w:szCs w:val="18"/>
        </w:rPr>
        <w:t>mRNA</w:t>
      </w:r>
      <w:proofErr w:type="gramEnd"/>
      <w:r w:rsidR="00E60C10" w:rsidRPr="0063138A">
        <w:rPr>
          <w:rFonts w:ascii="Palatino Linotype" w:hAnsi="Palatino Linotype"/>
          <w:sz w:val="18"/>
          <w:szCs w:val="18"/>
        </w:rPr>
        <w:t xml:space="preserve"> expression of β-</w:t>
      </w:r>
      <w:proofErr w:type="spellStart"/>
      <w:r w:rsidR="00E60C10" w:rsidRPr="0063138A">
        <w:rPr>
          <w:rFonts w:ascii="Palatino Linotype" w:hAnsi="Palatino Linotype"/>
          <w:sz w:val="18"/>
          <w:szCs w:val="18"/>
        </w:rPr>
        <w:t>ENaC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 xml:space="preserve"> gene (</w:t>
      </w:r>
      <w:r w:rsidR="00E60C10" w:rsidRPr="0063138A">
        <w:rPr>
          <w:rFonts w:ascii="Palatino Linotype" w:hAnsi="Palatino Linotype"/>
          <w:i/>
          <w:sz w:val="18"/>
          <w:szCs w:val="18"/>
        </w:rPr>
        <w:t>SCNN1B</w:t>
      </w:r>
      <w:r w:rsidR="00E60C10" w:rsidRPr="0063138A">
        <w:rPr>
          <w:rFonts w:ascii="Palatino Linotype" w:hAnsi="Palatino Linotype"/>
          <w:sz w:val="18"/>
          <w:szCs w:val="18"/>
        </w:rPr>
        <w:t>) in</w:t>
      </w:r>
      <w:r>
        <w:rPr>
          <w:rFonts w:ascii="Palatino Linotype" w:hAnsi="Palatino Linotype"/>
          <w:sz w:val="18"/>
          <w:szCs w:val="18"/>
        </w:rPr>
        <w:t xml:space="preserve"> controls,</w:t>
      </w:r>
      <w:r w:rsidR="00E60C10" w:rsidRPr="0063138A">
        <w:rPr>
          <w:rFonts w:ascii="Palatino Linotype" w:hAnsi="Palatino Linotype"/>
          <w:sz w:val="18"/>
          <w:szCs w:val="18"/>
        </w:rPr>
        <w:t xml:space="preserve"> DBA-stimulated controls and </w:t>
      </w:r>
      <w:r w:rsidR="00E60C10" w:rsidRPr="0063138A">
        <w:rPr>
          <w:rFonts w:ascii="Palatino Linotype" w:hAnsi="Palatino Linotype"/>
          <w:i/>
          <w:sz w:val="18"/>
          <w:szCs w:val="18"/>
        </w:rPr>
        <w:t xml:space="preserve">C. </w:t>
      </w:r>
      <w:proofErr w:type="spellStart"/>
      <w:r w:rsidR="00E60C10" w:rsidRPr="0063138A">
        <w:rPr>
          <w:rFonts w:ascii="Palatino Linotype" w:hAnsi="Palatino Linotype"/>
          <w:i/>
          <w:sz w:val="18"/>
          <w:szCs w:val="18"/>
        </w:rPr>
        <w:t>concisus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 xml:space="preserve">-infected cell monolayers (n = 4 each, </w:t>
      </w:r>
      <w:r w:rsidR="00362F3D">
        <w:rPr>
          <w:rFonts w:ascii="Palatino Linotype" w:hAnsi="Palatino Linotype"/>
          <w:sz w:val="18"/>
          <w:szCs w:val="18"/>
        </w:rPr>
        <w:t>*</w:t>
      </w:r>
      <w:r w:rsidR="00362F3D" w:rsidRPr="0063138A">
        <w:rPr>
          <w:rFonts w:ascii="Palatino Linotype" w:hAnsi="Palatino Linotype"/>
          <w:sz w:val="18"/>
          <w:szCs w:val="18"/>
        </w:rPr>
        <w:t>**</w:t>
      </w:r>
      <w:r w:rsidR="00362F3D" w:rsidRPr="0063138A">
        <w:rPr>
          <w:rFonts w:ascii="Palatino Linotype" w:hAnsi="Palatino Linotype"/>
          <w:i/>
          <w:sz w:val="18"/>
          <w:szCs w:val="18"/>
        </w:rPr>
        <w:t>p</w:t>
      </w:r>
      <w:r w:rsidR="00362F3D" w:rsidRPr="0063138A">
        <w:rPr>
          <w:rFonts w:ascii="Palatino Linotype" w:hAnsi="Palatino Linotype"/>
          <w:sz w:val="18"/>
          <w:szCs w:val="18"/>
        </w:rPr>
        <w:t xml:space="preserve"> &lt; 0.01</w:t>
      </w:r>
      <w:r w:rsidR="00362F3D">
        <w:rPr>
          <w:rFonts w:ascii="Palatino Linotype" w:hAnsi="Palatino Linotype"/>
          <w:sz w:val="18"/>
          <w:szCs w:val="18"/>
        </w:rPr>
        <w:t xml:space="preserve">, </w:t>
      </w:r>
      <w:r w:rsidR="00E60C10" w:rsidRPr="0063138A">
        <w:rPr>
          <w:rFonts w:ascii="Palatino Linotype" w:hAnsi="Palatino Linotype"/>
          <w:sz w:val="18"/>
          <w:szCs w:val="18"/>
        </w:rPr>
        <w:t>**</w:t>
      </w:r>
      <w:r w:rsidR="00E60C10" w:rsidRPr="0063138A">
        <w:rPr>
          <w:rFonts w:ascii="Palatino Linotype" w:hAnsi="Palatino Linotype"/>
          <w:i/>
          <w:sz w:val="18"/>
          <w:szCs w:val="18"/>
        </w:rPr>
        <w:t>p</w:t>
      </w:r>
      <w:r w:rsidR="00E60C10" w:rsidRPr="0063138A">
        <w:rPr>
          <w:rFonts w:ascii="Palatino Linotype" w:hAnsi="Palatino Linotype"/>
          <w:sz w:val="18"/>
          <w:szCs w:val="18"/>
        </w:rPr>
        <w:t xml:space="preserve"> &lt; 0.01). </w:t>
      </w:r>
      <w:bookmarkStart w:id="1" w:name="OLE_LINK8"/>
      <w:r w:rsidR="00E60C10" w:rsidRPr="0063138A">
        <w:rPr>
          <w:rFonts w:ascii="Palatino Linotype" w:hAnsi="Palatino Linotype"/>
          <w:sz w:val="18"/>
          <w:szCs w:val="18"/>
        </w:rPr>
        <w:t xml:space="preserve">(C) </w:t>
      </w:r>
      <w:proofErr w:type="gramStart"/>
      <w:r w:rsidR="00E60C10" w:rsidRPr="0063138A">
        <w:rPr>
          <w:rFonts w:ascii="Palatino Linotype" w:hAnsi="Palatino Linotype"/>
          <w:sz w:val="18"/>
          <w:szCs w:val="18"/>
        </w:rPr>
        <w:t>mRNA</w:t>
      </w:r>
      <w:proofErr w:type="gramEnd"/>
      <w:r w:rsidR="00E60C10" w:rsidRPr="0063138A">
        <w:rPr>
          <w:rFonts w:ascii="Palatino Linotype" w:hAnsi="Palatino Linotype"/>
          <w:sz w:val="18"/>
          <w:szCs w:val="18"/>
        </w:rPr>
        <w:t xml:space="preserve"> expression of γ-</w:t>
      </w:r>
      <w:proofErr w:type="spellStart"/>
      <w:r w:rsidR="00E60C10" w:rsidRPr="0063138A">
        <w:rPr>
          <w:rFonts w:ascii="Palatino Linotype" w:hAnsi="Palatino Linotype"/>
          <w:sz w:val="18"/>
          <w:szCs w:val="18"/>
        </w:rPr>
        <w:t>ENaC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 xml:space="preserve"> gene (</w:t>
      </w:r>
      <w:r w:rsidR="00E60C10" w:rsidRPr="0063138A">
        <w:rPr>
          <w:rFonts w:ascii="Palatino Linotype" w:hAnsi="Palatino Linotype"/>
          <w:i/>
          <w:sz w:val="18"/>
          <w:szCs w:val="18"/>
        </w:rPr>
        <w:t>SCNN1G</w:t>
      </w:r>
      <w:r w:rsidR="00E60C10" w:rsidRPr="0063138A">
        <w:rPr>
          <w:rFonts w:ascii="Palatino Linotype" w:hAnsi="Palatino Linotype"/>
          <w:sz w:val="18"/>
          <w:szCs w:val="18"/>
        </w:rPr>
        <w:t>) in</w:t>
      </w:r>
      <w:r>
        <w:rPr>
          <w:rFonts w:ascii="Palatino Linotype" w:hAnsi="Palatino Linotype"/>
          <w:sz w:val="18"/>
          <w:szCs w:val="18"/>
        </w:rPr>
        <w:t xml:space="preserve"> controls,</w:t>
      </w:r>
      <w:r w:rsidR="00E60C10" w:rsidRPr="0063138A">
        <w:rPr>
          <w:rFonts w:ascii="Palatino Linotype" w:hAnsi="Palatino Linotype"/>
          <w:sz w:val="18"/>
          <w:szCs w:val="18"/>
        </w:rPr>
        <w:t xml:space="preserve"> DBA-stimulated controls and </w:t>
      </w:r>
      <w:r w:rsidR="00E60C10" w:rsidRPr="0063138A">
        <w:rPr>
          <w:rFonts w:ascii="Palatino Linotype" w:hAnsi="Palatino Linotype"/>
          <w:i/>
          <w:sz w:val="18"/>
          <w:szCs w:val="18"/>
        </w:rPr>
        <w:t xml:space="preserve">C. </w:t>
      </w:r>
      <w:proofErr w:type="spellStart"/>
      <w:r w:rsidR="00E60C10" w:rsidRPr="0063138A">
        <w:rPr>
          <w:rFonts w:ascii="Palatino Linotype" w:hAnsi="Palatino Linotype"/>
          <w:i/>
          <w:sz w:val="18"/>
          <w:szCs w:val="18"/>
        </w:rPr>
        <w:t>concisus</w:t>
      </w:r>
      <w:proofErr w:type="spellEnd"/>
      <w:r w:rsidR="00E60C10" w:rsidRPr="0063138A">
        <w:rPr>
          <w:rFonts w:ascii="Palatino Linotype" w:hAnsi="Palatino Linotype"/>
          <w:sz w:val="18"/>
          <w:szCs w:val="18"/>
        </w:rPr>
        <w:t>-infected cell monolayers (n = 4 each,</w:t>
      </w:r>
      <w:r w:rsidR="00362F3D">
        <w:rPr>
          <w:rFonts w:ascii="Palatino Linotype" w:hAnsi="Palatino Linotype"/>
          <w:sz w:val="18"/>
          <w:szCs w:val="18"/>
        </w:rPr>
        <w:t xml:space="preserve"> </w:t>
      </w:r>
      <w:r w:rsidR="00362F3D" w:rsidRPr="0063138A">
        <w:rPr>
          <w:rFonts w:ascii="Palatino Linotype" w:hAnsi="Palatino Linotype"/>
          <w:sz w:val="18"/>
          <w:szCs w:val="18"/>
        </w:rPr>
        <w:t>**</w:t>
      </w:r>
      <w:r w:rsidR="00362F3D" w:rsidRPr="0063138A">
        <w:rPr>
          <w:rFonts w:ascii="Palatino Linotype" w:hAnsi="Palatino Linotype"/>
          <w:i/>
          <w:sz w:val="18"/>
          <w:szCs w:val="18"/>
        </w:rPr>
        <w:t>p</w:t>
      </w:r>
      <w:r w:rsidR="00362F3D" w:rsidRPr="0063138A">
        <w:rPr>
          <w:rFonts w:ascii="Palatino Linotype" w:hAnsi="Palatino Linotype"/>
          <w:sz w:val="18"/>
          <w:szCs w:val="18"/>
        </w:rPr>
        <w:t xml:space="preserve"> &lt; 0.01</w:t>
      </w:r>
      <w:r w:rsidR="00362F3D">
        <w:rPr>
          <w:rFonts w:ascii="Palatino Linotype" w:hAnsi="Palatino Linotype"/>
          <w:sz w:val="18"/>
          <w:szCs w:val="18"/>
        </w:rPr>
        <w:t xml:space="preserve">, </w:t>
      </w:r>
      <w:r w:rsidR="00E60C10" w:rsidRPr="0063138A">
        <w:rPr>
          <w:rFonts w:ascii="Palatino Linotype" w:hAnsi="Palatino Linotype"/>
          <w:sz w:val="18"/>
          <w:szCs w:val="18"/>
        </w:rPr>
        <w:t>*</w:t>
      </w:r>
      <w:r w:rsidR="00E60C10" w:rsidRPr="0063138A">
        <w:rPr>
          <w:rFonts w:ascii="Palatino Linotype" w:hAnsi="Palatino Linotype"/>
          <w:i/>
          <w:sz w:val="18"/>
          <w:szCs w:val="18"/>
        </w:rPr>
        <w:t>p</w:t>
      </w:r>
      <w:r w:rsidR="00237769">
        <w:rPr>
          <w:rFonts w:ascii="Palatino Linotype" w:hAnsi="Palatino Linotype"/>
          <w:sz w:val="18"/>
          <w:szCs w:val="18"/>
        </w:rPr>
        <w:t xml:space="preserve"> &lt; </w:t>
      </w:r>
      <w:r w:rsidR="00E60C10" w:rsidRPr="0063138A">
        <w:rPr>
          <w:rFonts w:ascii="Palatino Linotype" w:hAnsi="Palatino Linotype"/>
          <w:sz w:val="18"/>
          <w:szCs w:val="18"/>
        </w:rPr>
        <w:t>0.05).</w:t>
      </w:r>
      <w:bookmarkEnd w:id="1"/>
      <w:r w:rsidR="008D0E81">
        <w:rPr>
          <w:rFonts w:ascii="Palatino Linotype" w:hAnsi="Palatino Linotype"/>
          <w:sz w:val="18"/>
          <w:szCs w:val="18"/>
        </w:rPr>
        <w:t xml:space="preserve"> For statistical analysis, </w:t>
      </w:r>
      <w:r w:rsidR="008D0E81" w:rsidRPr="00D87FE1">
        <w:rPr>
          <w:rFonts w:ascii="Palatino Linotype" w:hAnsi="Palatino Linotype"/>
          <w:sz w:val="18"/>
          <w:szCs w:val="18"/>
        </w:rPr>
        <w:t xml:space="preserve">one-way ANOVA with </w:t>
      </w:r>
      <w:proofErr w:type="spellStart"/>
      <w:r w:rsidR="008D0E81">
        <w:rPr>
          <w:rFonts w:ascii="Palatino Linotype" w:hAnsi="Palatino Linotype"/>
          <w:sz w:val="18"/>
          <w:szCs w:val="18"/>
        </w:rPr>
        <w:t>Bonferroni’s</w:t>
      </w:r>
      <w:proofErr w:type="spellEnd"/>
      <w:r w:rsidR="008D0E81">
        <w:rPr>
          <w:rFonts w:ascii="Palatino Linotype" w:hAnsi="Palatino Linotype"/>
          <w:sz w:val="18"/>
          <w:szCs w:val="18"/>
        </w:rPr>
        <w:t xml:space="preserve"> Multiple Comparison Test</w:t>
      </w:r>
      <w:r w:rsidR="008D0E81" w:rsidRPr="00D87FE1">
        <w:rPr>
          <w:rFonts w:ascii="Palatino Linotype" w:hAnsi="Palatino Linotype"/>
          <w:sz w:val="18"/>
          <w:szCs w:val="18"/>
        </w:rPr>
        <w:t xml:space="preserve"> </w:t>
      </w:r>
      <w:proofErr w:type="gramStart"/>
      <w:r w:rsidR="008D0E81" w:rsidRPr="00D87FE1">
        <w:rPr>
          <w:rFonts w:ascii="Palatino Linotype" w:hAnsi="Palatino Linotype"/>
          <w:sz w:val="18"/>
          <w:szCs w:val="18"/>
        </w:rPr>
        <w:t>was used</w:t>
      </w:r>
      <w:proofErr w:type="gramEnd"/>
      <w:r w:rsidR="008D0E81" w:rsidRPr="00D87FE1">
        <w:rPr>
          <w:rFonts w:ascii="Palatino Linotype" w:eastAsia="SimSun" w:hAnsi="Palatino Linotype" w:cs="URWPalladioL-Roma"/>
          <w:sz w:val="18"/>
          <w:szCs w:val="18"/>
        </w:rPr>
        <w:t xml:space="preserve"> and </w:t>
      </w:r>
      <w:r w:rsidR="00237769">
        <w:rPr>
          <w:rFonts w:ascii="Palatino Linotype" w:eastAsia="SimSun" w:hAnsi="Palatino Linotype" w:cs="URWPalladioL-Ital"/>
          <w:i/>
          <w:sz w:val="18"/>
          <w:szCs w:val="18"/>
        </w:rPr>
        <w:t xml:space="preserve">p </w:t>
      </w:r>
      <w:r w:rsidR="00237769">
        <w:rPr>
          <w:rFonts w:ascii="Palatino Linotype" w:eastAsia="SimSun" w:hAnsi="Palatino Linotype" w:cs="Rpxr"/>
          <w:sz w:val="18"/>
          <w:szCs w:val="18"/>
        </w:rPr>
        <w:t xml:space="preserve">&lt; </w:t>
      </w:r>
      <w:r w:rsidR="008D0E81" w:rsidRPr="00D87FE1">
        <w:rPr>
          <w:rFonts w:ascii="Palatino Linotype" w:eastAsia="SimSun" w:hAnsi="Palatino Linotype" w:cs="URWPalladioL-Roma"/>
          <w:sz w:val="18"/>
          <w:szCs w:val="18"/>
        </w:rPr>
        <w:t>0.05 was considered statistically significant</w:t>
      </w:r>
      <w:r w:rsidR="008D0E81">
        <w:rPr>
          <w:rFonts w:ascii="Palatino Linotype" w:eastAsia="SimSun" w:hAnsi="Palatino Linotype" w:cs="URWPalladioL-Roma"/>
          <w:sz w:val="18"/>
          <w:szCs w:val="18"/>
        </w:rPr>
        <w:t>.</w:t>
      </w:r>
      <w:r w:rsidR="00887A2A">
        <w:rPr>
          <w:rFonts w:ascii="Palatino Linotype" w:hAnsi="Palatino Linotype"/>
          <w:sz w:val="18"/>
          <w:szCs w:val="18"/>
        </w:rPr>
        <w:t xml:space="preserve"> </w:t>
      </w:r>
      <w:r w:rsidR="00E60C10" w:rsidRPr="0063138A">
        <w:rPr>
          <w:rFonts w:ascii="Palatino Linotype" w:hAnsi="Palatino Linotype"/>
          <w:sz w:val="18"/>
          <w:szCs w:val="18"/>
        </w:rPr>
        <w:t>DBA = Dexamethasone, Butyrate, and Aldosterone.</w:t>
      </w:r>
      <w:r w:rsidR="00D87FE1">
        <w:rPr>
          <w:rFonts w:ascii="Palatino Linotype" w:hAnsi="Palatino Linotype"/>
          <w:sz w:val="18"/>
          <w:szCs w:val="18"/>
        </w:rPr>
        <w:t xml:space="preserve"> </w:t>
      </w:r>
    </w:p>
    <w:sectPr w:rsidR="00E60C10" w:rsidRPr="006313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RWPalladio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URWPalladioL-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px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D81"/>
    <w:rsid w:val="0012599E"/>
    <w:rsid w:val="001E6D81"/>
    <w:rsid w:val="00237769"/>
    <w:rsid w:val="00362F3D"/>
    <w:rsid w:val="0063138A"/>
    <w:rsid w:val="00650CAF"/>
    <w:rsid w:val="008162A0"/>
    <w:rsid w:val="00887A2A"/>
    <w:rsid w:val="008D0E81"/>
    <w:rsid w:val="00942483"/>
    <w:rsid w:val="00972D2B"/>
    <w:rsid w:val="00CA2C0A"/>
    <w:rsid w:val="00D87FE1"/>
    <w:rsid w:val="00DA22FC"/>
    <w:rsid w:val="00E60C10"/>
    <w:rsid w:val="00FC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008CCC-FFAE-4C40-BF1C-28C047E1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PRAVEEN KUMAR NATTRAMILARASU</dc:creator>
  <cp:keywords/>
  <dc:description/>
  <cp:lastModifiedBy>Nattramilarasu, Praveen Kumar</cp:lastModifiedBy>
  <cp:revision>17</cp:revision>
  <dcterms:created xsi:type="dcterms:W3CDTF">2019-12-08T22:20:00Z</dcterms:created>
  <dcterms:modified xsi:type="dcterms:W3CDTF">2019-12-11T11:49:00Z</dcterms:modified>
</cp:coreProperties>
</file>