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7B2F2" w14:textId="77777777" w:rsidR="003B7748" w:rsidRPr="003B7748" w:rsidRDefault="003B7748" w:rsidP="008D5A7E">
      <w:pPr>
        <w:pStyle w:val="MDPI12title"/>
        <w:rPr>
          <w:b w:val="0"/>
          <w:sz w:val="24"/>
          <w:szCs w:val="24"/>
        </w:rPr>
      </w:pPr>
      <w:r w:rsidRPr="003B7748">
        <w:rPr>
          <w:b w:val="0"/>
          <w:sz w:val="24"/>
          <w:szCs w:val="24"/>
        </w:rPr>
        <w:t>Supplementary</w:t>
      </w:r>
    </w:p>
    <w:p w14:paraId="15CEA7FC" w14:textId="77777777" w:rsidR="00780055" w:rsidRPr="0080785C" w:rsidRDefault="00780055" w:rsidP="00780055">
      <w:pPr>
        <w:pStyle w:val="MDPI12title"/>
      </w:pPr>
      <w:r w:rsidRPr="004037BE">
        <w:t xml:space="preserve">Mechanism of the Affinity-Enhancing Effect of </w:t>
      </w:r>
      <w:proofErr w:type="spellStart"/>
      <w:r w:rsidRPr="004037BE">
        <w:t>Isatin</w:t>
      </w:r>
      <w:proofErr w:type="spellEnd"/>
      <w:r w:rsidRPr="004037BE">
        <w:t xml:space="preserve"> on Human </w:t>
      </w:r>
      <w:proofErr w:type="spellStart"/>
      <w:r w:rsidRPr="004037BE">
        <w:t>Ferrochelatase</w:t>
      </w:r>
      <w:proofErr w:type="spellEnd"/>
      <w:r w:rsidRPr="004037BE">
        <w:t xml:space="preserve"> and </w:t>
      </w:r>
      <w:proofErr w:type="spellStart"/>
      <w:r w:rsidRPr="004037BE">
        <w:t>Adrenodoxin</w:t>
      </w:r>
      <w:proofErr w:type="spellEnd"/>
      <w:r w:rsidRPr="004037BE">
        <w:t xml:space="preserve"> Reductase Complex Formation: Implication for </w:t>
      </w:r>
      <w:r w:rsidRPr="0080785C">
        <w:t xml:space="preserve">Protein </w:t>
      </w:r>
      <w:proofErr w:type="spellStart"/>
      <w:r w:rsidRPr="0080785C">
        <w:t>Interactome</w:t>
      </w:r>
      <w:proofErr w:type="spellEnd"/>
      <w:r w:rsidRPr="0080785C">
        <w:t xml:space="preserve"> Regulation</w:t>
      </w:r>
    </w:p>
    <w:p w14:paraId="11967088" w14:textId="77777777" w:rsidR="008D5A7E" w:rsidRPr="0048656C" w:rsidRDefault="008D5A7E" w:rsidP="008D5A7E">
      <w:pPr>
        <w:pStyle w:val="MDPI13authornames"/>
      </w:pPr>
      <w:bookmarkStart w:id="0" w:name="_GoBack"/>
      <w:bookmarkEnd w:id="0"/>
      <w:r w:rsidRPr="0048656C">
        <w:t xml:space="preserve">Pavel V. </w:t>
      </w:r>
      <w:proofErr w:type="spellStart"/>
      <w:r w:rsidRPr="0048656C">
        <w:t>Ershov</w:t>
      </w:r>
      <w:proofErr w:type="spellEnd"/>
      <w:r w:rsidRPr="0048656C">
        <w:t xml:space="preserve"> </w:t>
      </w:r>
      <w:r w:rsidRPr="0048656C">
        <w:rPr>
          <w:vertAlign w:val="superscript"/>
        </w:rPr>
        <w:t>1,*</w:t>
      </w:r>
      <w:r w:rsidRPr="0048656C">
        <w:t xml:space="preserve">, Alexander V. </w:t>
      </w:r>
      <w:proofErr w:type="spellStart"/>
      <w:r w:rsidRPr="0048656C">
        <w:t>Veselovsky</w:t>
      </w:r>
      <w:proofErr w:type="spellEnd"/>
      <w:r w:rsidRPr="0048656C">
        <w:t xml:space="preserve"> </w:t>
      </w:r>
      <w:r w:rsidRPr="0048656C">
        <w:rPr>
          <w:vertAlign w:val="superscript"/>
        </w:rPr>
        <w:t>1</w:t>
      </w:r>
      <w:r w:rsidRPr="0048656C">
        <w:t xml:space="preserve">, Yuri V. </w:t>
      </w:r>
      <w:proofErr w:type="spellStart"/>
      <w:r w:rsidRPr="0048656C">
        <w:t>Mezentsev</w:t>
      </w:r>
      <w:proofErr w:type="spellEnd"/>
      <w:r w:rsidRPr="0048656C">
        <w:t xml:space="preserve"> </w:t>
      </w:r>
      <w:r w:rsidRPr="0048656C">
        <w:rPr>
          <w:vertAlign w:val="superscript"/>
        </w:rPr>
        <w:t>1</w:t>
      </w:r>
      <w:r w:rsidRPr="0048656C">
        <w:t xml:space="preserve">, Evgeniy O. </w:t>
      </w:r>
      <w:proofErr w:type="spellStart"/>
      <w:r w:rsidRPr="0048656C">
        <w:t>Yablokov</w:t>
      </w:r>
      <w:proofErr w:type="spellEnd"/>
      <w:r w:rsidRPr="0048656C">
        <w:t xml:space="preserve"> </w:t>
      </w:r>
      <w:r w:rsidRPr="0048656C">
        <w:rPr>
          <w:vertAlign w:val="superscript"/>
        </w:rPr>
        <w:t>1</w:t>
      </w:r>
      <w:r w:rsidRPr="0048656C">
        <w:t xml:space="preserve">, Leonid A. Kaluzhskiy </w:t>
      </w:r>
      <w:r w:rsidRPr="0048656C">
        <w:rPr>
          <w:vertAlign w:val="superscript"/>
        </w:rPr>
        <w:t>1</w:t>
      </w:r>
      <w:r w:rsidRPr="0048656C">
        <w:t xml:space="preserve">, </w:t>
      </w:r>
      <w:proofErr w:type="spellStart"/>
      <w:r w:rsidRPr="0048656C">
        <w:t>Anastasiya</w:t>
      </w:r>
      <w:proofErr w:type="spellEnd"/>
      <w:r w:rsidRPr="0048656C">
        <w:t xml:space="preserve"> M. </w:t>
      </w:r>
      <w:proofErr w:type="spellStart"/>
      <w:r w:rsidRPr="0048656C">
        <w:t>Tumilovich</w:t>
      </w:r>
      <w:proofErr w:type="spellEnd"/>
      <w:r w:rsidRPr="0048656C">
        <w:t xml:space="preserve"> </w:t>
      </w:r>
      <w:r w:rsidRPr="0048656C">
        <w:rPr>
          <w:vertAlign w:val="superscript"/>
        </w:rPr>
        <w:t>2</w:t>
      </w:r>
      <w:r w:rsidRPr="0048656C">
        <w:t xml:space="preserve">, Anton A. </w:t>
      </w:r>
      <w:proofErr w:type="spellStart"/>
      <w:r w:rsidRPr="0048656C">
        <w:t>Kavaleuski</w:t>
      </w:r>
      <w:proofErr w:type="spellEnd"/>
      <w:r w:rsidRPr="0048656C">
        <w:t xml:space="preserve"> </w:t>
      </w:r>
      <w:r w:rsidRPr="0048656C">
        <w:rPr>
          <w:vertAlign w:val="superscript"/>
        </w:rPr>
        <w:t>2</w:t>
      </w:r>
      <w:r w:rsidRPr="0048656C">
        <w:t xml:space="preserve">, Andrei A. </w:t>
      </w:r>
      <w:proofErr w:type="spellStart"/>
      <w:r w:rsidRPr="0048656C">
        <w:t>Gilep</w:t>
      </w:r>
      <w:proofErr w:type="spellEnd"/>
      <w:r w:rsidRPr="0048656C">
        <w:t xml:space="preserve"> </w:t>
      </w:r>
      <w:r w:rsidRPr="0048656C">
        <w:rPr>
          <w:vertAlign w:val="superscript"/>
        </w:rPr>
        <w:t>2</w:t>
      </w:r>
      <w:r w:rsidRPr="0048656C">
        <w:t xml:space="preserve">, </w:t>
      </w:r>
      <w:proofErr w:type="spellStart"/>
      <w:r w:rsidRPr="0048656C">
        <w:t>Taisiya</w:t>
      </w:r>
      <w:proofErr w:type="spellEnd"/>
      <w:r w:rsidRPr="0048656C">
        <w:t xml:space="preserve"> V. </w:t>
      </w:r>
      <w:proofErr w:type="spellStart"/>
      <w:r w:rsidRPr="0048656C">
        <w:t>Moskovkina</w:t>
      </w:r>
      <w:proofErr w:type="spellEnd"/>
      <w:r w:rsidRPr="0048656C">
        <w:t xml:space="preserve"> </w:t>
      </w:r>
      <w:r w:rsidRPr="0048656C">
        <w:rPr>
          <w:vertAlign w:val="superscript"/>
        </w:rPr>
        <w:t>3</w:t>
      </w:r>
      <w:r w:rsidRPr="0048656C">
        <w:t xml:space="preserve">, Alexei E. Medvedev </w:t>
      </w:r>
      <w:r w:rsidRPr="0048656C">
        <w:rPr>
          <w:vertAlign w:val="superscript"/>
        </w:rPr>
        <w:t>1</w:t>
      </w:r>
      <w:r w:rsidRPr="0048656C">
        <w:t xml:space="preserve">, Alexis S. Ivanov </w:t>
      </w:r>
      <w:r w:rsidRPr="0048656C">
        <w:rPr>
          <w:vertAlign w:val="superscript"/>
        </w:rPr>
        <w:t>1</w:t>
      </w:r>
    </w:p>
    <w:p w14:paraId="5367CEEC" w14:textId="47524D57" w:rsidR="008D5A7E" w:rsidRPr="0048656C" w:rsidRDefault="008D5A7E" w:rsidP="008D5A7E">
      <w:pPr>
        <w:pStyle w:val="MDPI16affiliation"/>
      </w:pPr>
      <w:r w:rsidRPr="0048656C">
        <w:rPr>
          <w:vertAlign w:val="superscript"/>
        </w:rPr>
        <w:t>1</w:t>
      </w:r>
      <w:r w:rsidRPr="0048656C">
        <w:tab/>
      </w:r>
      <w:r w:rsidR="00DB1C62" w:rsidRPr="004037BE">
        <w:t xml:space="preserve">Institute of Biomedical Chemistry, 10 Building 8, </w:t>
      </w:r>
      <w:proofErr w:type="spellStart"/>
      <w:r w:rsidR="00DB1C62" w:rsidRPr="004037BE">
        <w:t>Pogodinskaya</w:t>
      </w:r>
      <w:proofErr w:type="spellEnd"/>
      <w:r w:rsidR="00DB1C62" w:rsidRPr="004037BE">
        <w:t xml:space="preserve"> Street</w:t>
      </w:r>
      <w:r w:rsidR="00DB1C62">
        <w:t>, 140006</w:t>
      </w:r>
      <w:r w:rsidR="00DB1C62" w:rsidRPr="004037BE">
        <w:t xml:space="preserve"> Moscow, Russia; veselov@ibmh.msk.su (A.V.V.); </w:t>
      </w:r>
      <w:r w:rsidR="00DB1C62" w:rsidRPr="005424A5">
        <w:t>yuri.mezentsev@ibmc.msk.ru</w:t>
      </w:r>
      <w:r w:rsidR="00DB1C62" w:rsidRPr="004037BE">
        <w:t xml:space="preserve"> (Y.V.M.); </w:t>
      </w:r>
      <w:r w:rsidR="00DB1C62" w:rsidRPr="005424A5">
        <w:t>evgeniy.yablokov@ibmc.msk.ru</w:t>
      </w:r>
      <w:r w:rsidR="00DB1C62" w:rsidRPr="004037BE">
        <w:t xml:space="preserve"> (E.O.Y.); </w:t>
      </w:r>
      <w:r w:rsidR="00DB1C62" w:rsidRPr="005424A5">
        <w:t>leonid.kaluzhskiy@ibmc.msk.ru</w:t>
      </w:r>
      <w:r w:rsidR="00DB1C62" w:rsidRPr="004037BE">
        <w:t xml:space="preserve"> (L.A.K.); </w:t>
      </w:r>
      <w:r w:rsidR="00DB1C62" w:rsidRPr="005424A5">
        <w:t>alexei.medvedev@ibmc.msk.ru</w:t>
      </w:r>
      <w:r w:rsidR="00DB1C62" w:rsidRPr="004037BE">
        <w:t xml:space="preserve"> (A.E.M.); </w:t>
      </w:r>
      <w:r w:rsidR="00DB1C62" w:rsidRPr="005424A5">
        <w:t>alexei.ivanov@ibmc.msk.ru</w:t>
      </w:r>
      <w:r w:rsidR="00DB1C62" w:rsidRPr="004037BE">
        <w:t xml:space="preserve"> (A.S.I.)</w:t>
      </w:r>
    </w:p>
    <w:p w14:paraId="507A1271" w14:textId="2CE34A2C" w:rsidR="008D5A7E" w:rsidRPr="0048656C" w:rsidRDefault="008D5A7E" w:rsidP="008D5A7E">
      <w:pPr>
        <w:pStyle w:val="MDPI16affiliation"/>
      </w:pPr>
      <w:r w:rsidRPr="0048656C">
        <w:rPr>
          <w:vertAlign w:val="superscript"/>
        </w:rPr>
        <w:t>2</w:t>
      </w:r>
      <w:r w:rsidRPr="0048656C">
        <w:tab/>
      </w:r>
      <w:r w:rsidR="00DB1C62" w:rsidRPr="004037BE">
        <w:t xml:space="preserve">Institute of Bioorganic Chemistry NASB, 5 Building 2, V.F. </w:t>
      </w:r>
      <w:proofErr w:type="spellStart"/>
      <w:r w:rsidR="00DB1C62" w:rsidRPr="004037BE">
        <w:t>Kuprevich</w:t>
      </w:r>
      <w:proofErr w:type="spellEnd"/>
      <w:r w:rsidR="00DB1C62" w:rsidRPr="004037BE">
        <w:t xml:space="preserve"> Street</w:t>
      </w:r>
      <w:r w:rsidR="00DB1C62">
        <w:t>, 220141</w:t>
      </w:r>
      <w:r w:rsidR="00DB1C62" w:rsidRPr="004037BE">
        <w:t xml:space="preserve"> Minsk, Belarus; </w:t>
      </w:r>
      <w:r w:rsidR="00DB1C62" w:rsidRPr="009671D3">
        <w:t>tumilovicham@iboch.by</w:t>
      </w:r>
      <w:r w:rsidR="00DB1C62" w:rsidRPr="004037BE">
        <w:t xml:space="preserve"> (A.M.T.); </w:t>
      </w:r>
      <w:r w:rsidR="00DB1C62" w:rsidRPr="009671D3">
        <w:t>bio.kovalevs@iboch.by</w:t>
      </w:r>
      <w:r w:rsidR="00DB1C62" w:rsidRPr="004037BE">
        <w:t xml:space="preserve"> (A.A.K.); </w:t>
      </w:r>
      <w:r w:rsidR="00DB1C62" w:rsidRPr="009671D3">
        <w:t>agilep@iboch.by</w:t>
      </w:r>
      <w:r w:rsidR="00DB1C62" w:rsidRPr="004037BE">
        <w:t xml:space="preserve"> (A.A.G.)</w:t>
      </w:r>
    </w:p>
    <w:p w14:paraId="762269AA" w14:textId="7B71685E" w:rsidR="008D5A7E" w:rsidRPr="0048656C" w:rsidRDefault="008D5A7E" w:rsidP="008D5A7E">
      <w:pPr>
        <w:pStyle w:val="MDPI16affiliation"/>
      </w:pPr>
      <w:r w:rsidRPr="0048656C">
        <w:rPr>
          <w:vertAlign w:val="superscript"/>
        </w:rPr>
        <w:t>3</w:t>
      </w:r>
      <w:r w:rsidRPr="0048656C">
        <w:tab/>
      </w:r>
      <w:r w:rsidR="00DB1C62" w:rsidRPr="004037BE">
        <w:t>Far East Federal University,</w:t>
      </w:r>
      <w:r w:rsidR="00DB1C62">
        <w:t xml:space="preserve"> FEFU Campus, 10 Ajax Bay, </w:t>
      </w:r>
      <w:proofErr w:type="spellStart"/>
      <w:r w:rsidR="00DB1C62">
        <w:t>Russky</w:t>
      </w:r>
      <w:proofErr w:type="spellEnd"/>
      <w:r w:rsidR="00DB1C62">
        <w:t xml:space="preserve"> Island, </w:t>
      </w:r>
      <w:r w:rsidR="00DB1C62" w:rsidRPr="00E94B3A">
        <w:t>690922</w:t>
      </w:r>
      <w:r w:rsidR="00DB1C62" w:rsidRPr="00E94B3A" w:rsidDel="00E94B3A">
        <w:t xml:space="preserve"> </w:t>
      </w:r>
      <w:r w:rsidR="00DB1C62">
        <w:t>Vladivostok,</w:t>
      </w:r>
      <w:r w:rsidR="00DB1C62" w:rsidRPr="004037BE">
        <w:t xml:space="preserve"> Russia; </w:t>
      </w:r>
      <w:r w:rsidR="00DB1C62" w:rsidRPr="00F71839">
        <w:t>moskovkina.tv@dvfu.ru</w:t>
      </w:r>
      <w:r w:rsidR="00DB1C62">
        <w:t xml:space="preserve"> (T.V.M.)</w:t>
      </w:r>
    </w:p>
    <w:p w14:paraId="15E6E7AA" w14:textId="77777777" w:rsidR="00DB1C62" w:rsidRPr="004037BE" w:rsidRDefault="008D5A7E" w:rsidP="00DB1C62">
      <w:pPr>
        <w:pStyle w:val="MDPI16affiliation"/>
      </w:pPr>
      <w:r w:rsidRPr="0048656C">
        <w:rPr>
          <w:b/>
        </w:rPr>
        <w:t>*</w:t>
      </w:r>
      <w:r w:rsidRPr="0048656C">
        <w:tab/>
      </w:r>
      <w:r w:rsidR="00DB1C62" w:rsidRPr="004037BE">
        <w:t xml:space="preserve">Correspondence: </w:t>
      </w:r>
      <w:r w:rsidR="00DB1C62" w:rsidRPr="005424A5">
        <w:t>pavel.ershov@ibmc.msk.ru</w:t>
      </w:r>
      <w:r w:rsidR="00DB1C62" w:rsidRPr="004037BE">
        <w:t>; Tel.: +</w:t>
      </w:r>
      <w:r w:rsidR="00DB1C62">
        <w:t>7-499-246-71-15</w:t>
      </w:r>
    </w:p>
    <w:p w14:paraId="213C9F30" w14:textId="1FB5A0CF" w:rsidR="008D5A7E" w:rsidRDefault="008D5A7E" w:rsidP="008D5A7E">
      <w:pPr>
        <w:pStyle w:val="MDPI14history"/>
        <w:spacing w:before="0"/>
        <w:ind w:left="311" w:hanging="198"/>
      </w:pPr>
    </w:p>
    <w:p w14:paraId="622BF76F" w14:textId="77777777" w:rsidR="003065D9" w:rsidRDefault="003065D9" w:rsidP="003065D9">
      <w:pPr>
        <w:rPr>
          <w:lang w:val="en-US" w:eastAsia="de-DE" w:bidi="en-US"/>
        </w:rPr>
      </w:pPr>
    </w:p>
    <w:p w14:paraId="4BC04ACB" w14:textId="77777777" w:rsidR="003065D9" w:rsidRPr="0048656C" w:rsidRDefault="003065D9" w:rsidP="003065D9">
      <w:pPr>
        <w:pStyle w:val="MDPI21heading1"/>
        <w:rPr>
          <w:b w:val="0"/>
          <w:i/>
          <w:iCs/>
        </w:rPr>
      </w:pPr>
      <w:r w:rsidRPr="0048656C">
        <w:rPr>
          <w:b w:val="0"/>
          <w:i/>
          <w:iCs/>
        </w:rPr>
        <w:t>SPR analysis of ADR/</w:t>
      </w:r>
      <w:proofErr w:type="spellStart"/>
      <w:r w:rsidRPr="0048656C">
        <w:rPr>
          <w:b w:val="0"/>
          <w:i/>
          <w:iCs/>
        </w:rPr>
        <w:t>Adx</w:t>
      </w:r>
      <w:proofErr w:type="spellEnd"/>
      <w:r w:rsidRPr="0048656C">
        <w:rPr>
          <w:b w:val="0"/>
          <w:i/>
          <w:iCs/>
        </w:rPr>
        <w:t xml:space="preserve"> complex formation</w:t>
      </w:r>
    </w:p>
    <w:p w14:paraId="2B02360C" w14:textId="77777777" w:rsidR="003065D9" w:rsidRPr="0048656C" w:rsidRDefault="003065D9" w:rsidP="003065D9">
      <w:pPr>
        <w:pStyle w:val="MDPI21heading1"/>
        <w:jc w:val="center"/>
        <w:rPr>
          <w:b w:val="0"/>
        </w:rPr>
      </w:pPr>
      <w:r w:rsidRPr="0048656C">
        <w:rPr>
          <w:b w:val="0"/>
          <w:noProof/>
          <w:sz w:val="24"/>
          <w:szCs w:val="24"/>
          <w:lang w:val="ru-RU" w:eastAsia="ru-RU" w:bidi="ar-SA"/>
        </w:rPr>
        <w:drawing>
          <wp:inline distT="0" distB="0" distL="114300" distR="114300" wp14:anchorId="574D6D6C" wp14:editId="506BB58E">
            <wp:extent cx="4906387" cy="2369820"/>
            <wp:effectExtent l="0" t="0" r="889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4945871" cy="2388891"/>
                    </a:xfrm>
                    <a:prstGeom prst="rect">
                      <a:avLst/>
                    </a:prstGeom>
                    <a:ln/>
                  </pic:spPr>
                </pic:pic>
              </a:graphicData>
            </a:graphic>
          </wp:inline>
        </w:drawing>
      </w:r>
    </w:p>
    <w:p w14:paraId="0EE03E35" w14:textId="77777777" w:rsidR="003065D9" w:rsidRPr="0048656C" w:rsidRDefault="003065D9" w:rsidP="003065D9">
      <w:pPr>
        <w:pStyle w:val="MDPI51figurecaption"/>
        <w:rPr>
          <w:b/>
        </w:rPr>
      </w:pPr>
      <w:r w:rsidRPr="00161690">
        <w:rPr>
          <w:b/>
          <w:bCs/>
        </w:rPr>
        <w:t xml:space="preserve">Figure </w:t>
      </w:r>
      <w:r w:rsidR="00FD700A">
        <w:rPr>
          <w:b/>
          <w:bCs/>
        </w:rPr>
        <w:t>S</w:t>
      </w:r>
      <w:r w:rsidRPr="00161690">
        <w:rPr>
          <w:b/>
          <w:bCs/>
        </w:rPr>
        <w:t xml:space="preserve">1. </w:t>
      </w:r>
      <w:r w:rsidRPr="0048656C">
        <w:t xml:space="preserve">SPR </w:t>
      </w:r>
      <w:proofErr w:type="spellStart"/>
      <w:r w:rsidRPr="0048656C">
        <w:t>sensorgrams</w:t>
      </w:r>
      <w:proofErr w:type="spellEnd"/>
      <w:r w:rsidRPr="0048656C">
        <w:t xml:space="preserve"> of complex formation between </w:t>
      </w:r>
      <w:proofErr w:type="spellStart"/>
      <w:r w:rsidRPr="0048656C">
        <w:t>adrenodoxin</w:t>
      </w:r>
      <w:proofErr w:type="spellEnd"/>
      <w:r w:rsidRPr="0048656C">
        <w:t xml:space="preserve"> reductase (ADR), covalently immobilized on the optical chip, and </w:t>
      </w:r>
      <w:proofErr w:type="spellStart"/>
      <w:r w:rsidRPr="0048656C">
        <w:t>adrenodoxin</w:t>
      </w:r>
      <w:proofErr w:type="spellEnd"/>
      <w:r w:rsidRPr="0048656C">
        <w:t xml:space="preserve"> (</w:t>
      </w:r>
      <w:proofErr w:type="spellStart"/>
      <w:r w:rsidRPr="0048656C">
        <w:t>Adx</w:t>
      </w:r>
      <w:proofErr w:type="spellEnd"/>
      <w:r w:rsidRPr="0048656C">
        <w:t>).</w:t>
      </w:r>
    </w:p>
    <w:p w14:paraId="4BBF348B" w14:textId="77777777" w:rsidR="003065D9" w:rsidRPr="00E42BE9" w:rsidRDefault="003065D9" w:rsidP="003065D9">
      <w:pPr>
        <w:pStyle w:val="MDPI31text"/>
        <w:rPr>
          <w:b/>
          <w:sz w:val="18"/>
          <w:szCs w:val="18"/>
        </w:rPr>
      </w:pPr>
      <w:proofErr w:type="spellStart"/>
      <w:proofErr w:type="gramStart"/>
      <w:r w:rsidRPr="00E42BE9">
        <w:rPr>
          <w:sz w:val="18"/>
          <w:szCs w:val="18"/>
        </w:rPr>
        <w:t>Analyte</w:t>
      </w:r>
      <w:proofErr w:type="spellEnd"/>
      <w:r w:rsidRPr="00E42BE9">
        <w:rPr>
          <w:sz w:val="18"/>
          <w:szCs w:val="18"/>
        </w:rPr>
        <w:t xml:space="preserve"> solutions were injected at a flow rate of 10 µL/min for 10 min. Solution containing 2M </w:t>
      </w:r>
      <w:proofErr w:type="spellStart"/>
      <w:r w:rsidRPr="00E42BE9">
        <w:rPr>
          <w:sz w:val="18"/>
          <w:szCs w:val="18"/>
        </w:rPr>
        <w:t>NaCl</w:t>
      </w:r>
      <w:proofErr w:type="spellEnd"/>
      <w:r w:rsidRPr="00E42BE9">
        <w:rPr>
          <w:sz w:val="18"/>
          <w:szCs w:val="18"/>
        </w:rPr>
        <w:t xml:space="preserve"> and 0.4% CHAPS was used for the regeneration of the chip surface for 30 s at a flow rate of 50 </w:t>
      </w:r>
      <w:proofErr w:type="spellStart"/>
      <w:r w:rsidRPr="00E42BE9">
        <w:rPr>
          <w:sz w:val="18"/>
          <w:szCs w:val="18"/>
        </w:rPr>
        <w:t>μL</w:t>
      </w:r>
      <w:proofErr w:type="spellEnd"/>
      <w:r w:rsidRPr="00E42BE9">
        <w:rPr>
          <w:sz w:val="18"/>
          <w:szCs w:val="18"/>
        </w:rPr>
        <w:t xml:space="preserve">/min. </w:t>
      </w:r>
      <w:proofErr w:type="spellStart"/>
      <w:r w:rsidRPr="00E42BE9">
        <w:rPr>
          <w:sz w:val="18"/>
          <w:szCs w:val="18"/>
        </w:rPr>
        <w:t>Kd</w:t>
      </w:r>
      <w:proofErr w:type="spellEnd"/>
      <w:r w:rsidRPr="00E42BE9">
        <w:rPr>
          <w:sz w:val="18"/>
          <w:szCs w:val="18"/>
        </w:rPr>
        <w:t xml:space="preserve"> values were calculated in global fitting mode using the </w:t>
      </w:r>
      <w:proofErr w:type="spellStart"/>
      <w:r w:rsidRPr="00E42BE9">
        <w:rPr>
          <w:sz w:val="18"/>
          <w:szCs w:val="18"/>
        </w:rPr>
        <w:t>BIAevaluation</w:t>
      </w:r>
      <w:proofErr w:type="spellEnd"/>
      <w:r w:rsidRPr="00E42BE9">
        <w:rPr>
          <w:sz w:val="18"/>
          <w:szCs w:val="18"/>
        </w:rPr>
        <w:t xml:space="preserve"> 4.1 software and the Langmuir binding model (1:1 complex formation).</w:t>
      </w:r>
      <w:proofErr w:type="gramEnd"/>
      <w:r w:rsidRPr="00E42BE9">
        <w:rPr>
          <w:sz w:val="18"/>
          <w:szCs w:val="18"/>
        </w:rPr>
        <w:t xml:space="preserve"> </w:t>
      </w:r>
    </w:p>
    <w:p w14:paraId="014FA8AB" w14:textId="77777777" w:rsidR="003065D9" w:rsidRDefault="003065D9" w:rsidP="003065D9">
      <w:pPr>
        <w:pStyle w:val="MDPI31text"/>
        <w:rPr>
          <w:sz w:val="18"/>
          <w:szCs w:val="18"/>
        </w:rPr>
      </w:pPr>
      <w:r w:rsidRPr="00E42BE9">
        <w:rPr>
          <w:sz w:val="18"/>
          <w:szCs w:val="18"/>
        </w:rPr>
        <w:t xml:space="preserve">The level of ADR immobilization on the optical chip CM5 was about 4500 RU (corresponds to 4.5 ng/mm2). Stable baseline of biosensor was established by flowing HBS-EP+ running buffer within 2 hours at a flow rate of 10 µL/min. Calculated </w:t>
      </w:r>
      <w:proofErr w:type="spellStart"/>
      <w:r w:rsidRPr="00E42BE9">
        <w:rPr>
          <w:sz w:val="18"/>
          <w:szCs w:val="18"/>
        </w:rPr>
        <w:t>Kd</w:t>
      </w:r>
      <w:proofErr w:type="spellEnd"/>
      <w:r w:rsidRPr="00E42BE9">
        <w:rPr>
          <w:sz w:val="18"/>
          <w:szCs w:val="18"/>
        </w:rPr>
        <w:t xml:space="preserve"> value of ADR/</w:t>
      </w:r>
      <w:proofErr w:type="spellStart"/>
      <w:r w:rsidRPr="00E42BE9">
        <w:rPr>
          <w:sz w:val="18"/>
          <w:szCs w:val="18"/>
        </w:rPr>
        <w:t>Adx</w:t>
      </w:r>
      <w:proofErr w:type="spellEnd"/>
      <w:r w:rsidRPr="00E42BE9">
        <w:rPr>
          <w:sz w:val="18"/>
          <w:szCs w:val="18"/>
        </w:rPr>
        <w:t xml:space="preserve"> complex was 3.7 ± 1.1 µМ, which is consistent with previously published </w:t>
      </w:r>
      <w:proofErr w:type="spellStart"/>
      <w:r w:rsidRPr="00E42BE9">
        <w:rPr>
          <w:sz w:val="18"/>
          <w:szCs w:val="18"/>
        </w:rPr>
        <w:t>Kd</w:t>
      </w:r>
      <w:proofErr w:type="spellEnd"/>
      <w:r w:rsidRPr="00E42BE9">
        <w:rPr>
          <w:sz w:val="18"/>
          <w:szCs w:val="18"/>
        </w:rPr>
        <w:t xml:space="preserve"> value (2.5 µМ) </w:t>
      </w:r>
      <w:r w:rsidRPr="00E42BE9">
        <w:rPr>
          <w:b/>
          <w:sz w:val="18"/>
          <w:szCs w:val="18"/>
        </w:rPr>
        <w:fldChar w:fldCharType="begin"/>
      </w:r>
      <w:r w:rsidRPr="00E42BE9">
        <w:rPr>
          <w:sz w:val="18"/>
          <w:szCs w:val="18"/>
        </w:rPr>
        <w:instrText xml:space="preserve"> ADDIN ZOTERO_ITEM CSL_CITATION {"citationID":"wXhvtg0c","properties":{"formattedCitation":"[38]","plainCitation":"[38]","noteIndex":0},"citationItems":[{"id":715,"uris":["http://zotero.org/users/5130067/items/9UX4PN6U"],"uri":["http://zotero.org/users/5130067/items/9UX4PN6U"],"itemData":{"id":715,"type":"article-journal","abstract":"Modification of the three carboxyl groups on adrenodoxin using a water-soluble carbodiimide (1-ethyl-3-(3-dimethylaminopropyl)carbodiimide) caused a weakening of the binding of this iron-sulfur protein to both its electron donor protein, adrenodoxin reductase, and its electron acceptor protein, cytochrome P-450scc. Based upon the proximity of the modified groups, the site on adrenodoxin for interaction with the other two proteins is likely to be either identical or highly overlapping, and formation of a ternary complex among the proteins is precluded. Upon incubation of adrenodoxin and either adrenodoxin reductase or cytochrome P-450 plus the carbodiimide (1:1), covalently cross-linked species were formed. When all three proteins were incubated with the cross-linker, only the binary complexes were formed, and no higher order (e.g. 1:1:1 or 1:2:1) complexes were seen. These studies indicate that adrenodoxin forms exclusive binary complexes with its electron transfer partner proteins, and thus provide a physical explanation for the proposed role of adrenodoxin as a mobile electron shuttle between NADPH-adrenodoxin reductase and cytochrome P-450scc.","container-title":"The Journal of Biological Chemistry","ISSN":"0021-9258","issue":"16","journalAbbreviation":"J. Biol. Chem.","language":"eng","note":"PMID: 6432777","page":"10025-10029","source":"PubMed","title":"Adrenodoxin interaction with adrenodoxin reductase and cytochrome P-450scc. Cross-linking of protein complexes and effects of adrenodoxin modification by 1-ethyl-3-(3-dimethylaminopropyl)carbodiimide","volume":"259","author":[{"family":"Lambeth","given":"J. D."},{"family":"Geren","given":"L. M."},{"family":"Millett","given":"F."}],"issued":{"date-parts":[["1984",8,25]]}}}],"schema":"https://github.com/citation-style-language/schema/raw/master/csl-citation.json"} </w:instrText>
      </w:r>
      <w:r w:rsidRPr="00E42BE9">
        <w:rPr>
          <w:b/>
          <w:sz w:val="18"/>
          <w:szCs w:val="18"/>
        </w:rPr>
        <w:fldChar w:fldCharType="separate"/>
      </w:r>
      <w:r w:rsidR="00CA47E0">
        <w:rPr>
          <w:sz w:val="18"/>
          <w:szCs w:val="18"/>
        </w:rPr>
        <w:t>[</w:t>
      </w:r>
      <w:r w:rsidR="00CA47E0" w:rsidRPr="00CA47E0">
        <w:rPr>
          <w:sz w:val="18"/>
        </w:rPr>
        <w:t>Lambeth</w:t>
      </w:r>
      <w:r w:rsidR="00CA47E0">
        <w:rPr>
          <w:sz w:val="18"/>
        </w:rPr>
        <w:t xml:space="preserve"> et al., 1984</w:t>
      </w:r>
      <w:r w:rsidRPr="00E42BE9">
        <w:rPr>
          <w:sz w:val="18"/>
          <w:szCs w:val="18"/>
        </w:rPr>
        <w:t>]</w:t>
      </w:r>
      <w:r w:rsidRPr="00E42BE9">
        <w:rPr>
          <w:b/>
          <w:sz w:val="18"/>
          <w:szCs w:val="18"/>
        </w:rPr>
        <w:fldChar w:fldCharType="end"/>
      </w:r>
      <w:r w:rsidRPr="00E42BE9">
        <w:rPr>
          <w:sz w:val="18"/>
          <w:szCs w:val="18"/>
        </w:rPr>
        <w:t xml:space="preserve">. </w:t>
      </w:r>
    </w:p>
    <w:p w14:paraId="59CA7CB3" w14:textId="77777777" w:rsidR="001A72C4" w:rsidRDefault="001A72C4" w:rsidP="003065D9">
      <w:pPr>
        <w:pStyle w:val="MDPI31text"/>
        <w:rPr>
          <w:sz w:val="18"/>
          <w:szCs w:val="18"/>
        </w:rPr>
      </w:pPr>
    </w:p>
    <w:p w14:paraId="481ECB39" w14:textId="77777777" w:rsidR="001A72C4" w:rsidRPr="00E42BE9" w:rsidRDefault="001A72C4" w:rsidP="003065D9">
      <w:pPr>
        <w:pStyle w:val="MDPI31text"/>
        <w:rPr>
          <w:b/>
          <w:sz w:val="18"/>
          <w:szCs w:val="18"/>
        </w:rPr>
      </w:pPr>
    </w:p>
    <w:p w14:paraId="6806585F" w14:textId="77777777" w:rsidR="003065D9" w:rsidRPr="0048656C" w:rsidRDefault="003065D9" w:rsidP="003065D9">
      <w:pPr>
        <w:pStyle w:val="MDPI21heading1"/>
        <w:rPr>
          <w:b w:val="0"/>
          <w:i/>
          <w:iCs/>
        </w:rPr>
      </w:pPr>
      <w:r w:rsidRPr="0048656C">
        <w:rPr>
          <w:b w:val="0"/>
          <w:i/>
          <w:iCs/>
        </w:rPr>
        <w:lastRenderedPageBreak/>
        <w:t>SPR analysis of different proteins binding with 5-aminoisatin, immobilized on the optical chip</w:t>
      </w:r>
    </w:p>
    <w:p w14:paraId="567933D1" w14:textId="77777777" w:rsidR="003065D9" w:rsidRPr="0048656C" w:rsidRDefault="003065D9" w:rsidP="003065D9">
      <w:pPr>
        <w:pStyle w:val="MDPI52figure"/>
        <w:rPr>
          <w:b/>
        </w:rPr>
      </w:pPr>
      <w:r w:rsidRPr="0048656C">
        <w:t xml:space="preserve"> </w:t>
      </w:r>
      <w:r w:rsidRPr="0048656C">
        <w:rPr>
          <w:noProof/>
          <w:sz w:val="24"/>
          <w:szCs w:val="24"/>
          <w:lang w:val="ru-RU" w:eastAsia="ru-RU" w:bidi="ar-SA"/>
        </w:rPr>
        <w:drawing>
          <wp:inline distT="0" distB="0" distL="114300" distR="114300" wp14:anchorId="4F20E2F3" wp14:editId="3BAF605D">
            <wp:extent cx="3061162" cy="2527889"/>
            <wp:effectExtent l="0" t="0" r="6350" b="6350"/>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094123" cy="2555108"/>
                    </a:xfrm>
                    <a:prstGeom prst="rect">
                      <a:avLst/>
                    </a:prstGeom>
                    <a:ln/>
                  </pic:spPr>
                </pic:pic>
              </a:graphicData>
            </a:graphic>
          </wp:inline>
        </w:drawing>
      </w:r>
    </w:p>
    <w:p w14:paraId="02C5AF2C" w14:textId="77777777" w:rsidR="003065D9" w:rsidRPr="004861F0" w:rsidRDefault="003065D9" w:rsidP="003065D9">
      <w:pPr>
        <w:pStyle w:val="MDPI51figurecaption"/>
        <w:rPr>
          <w:b/>
        </w:rPr>
      </w:pPr>
      <w:r w:rsidRPr="00161690">
        <w:rPr>
          <w:b/>
          <w:bCs/>
        </w:rPr>
        <w:t xml:space="preserve">Figure </w:t>
      </w:r>
      <w:r w:rsidR="00012249">
        <w:rPr>
          <w:b/>
          <w:bCs/>
        </w:rPr>
        <w:t>S</w:t>
      </w:r>
      <w:r w:rsidRPr="00161690">
        <w:rPr>
          <w:b/>
          <w:bCs/>
        </w:rPr>
        <w:t xml:space="preserve">2. </w:t>
      </w:r>
      <w:proofErr w:type="spellStart"/>
      <w:r w:rsidRPr="0048656C">
        <w:t>Sensorgrams</w:t>
      </w:r>
      <w:proofErr w:type="spellEnd"/>
      <w:r w:rsidRPr="0048656C">
        <w:t xml:space="preserve"> of proteins binding with 5-aminoisatin immobilized on the optical chip. Analysis </w:t>
      </w:r>
      <w:proofErr w:type="gramStart"/>
      <w:r w:rsidRPr="0048656C">
        <w:t>were performed</w:t>
      </w:r>
      <w:proofErr w:type="gramEnd"/>
      <w:r w:rsidRPr="0048656C">
        <w:t xml:space="preserve"> using </w:t>
      </w:r>
      <w:proofErr w:type="spellStart"/>
      <w:r w:rsidRPr="0048656C">
        <w:t>Biacore</w:t>
      </w:r>
      <w:proofErr w:type="spellEnd"/>
      <w:r w:rsidRPr="0048656C">
        <w:t xml:space="preserve"> Х-100 biosensor (GE Healthcare, USA) with optical chip CM4. 5-aminoisatin was covalently immobilized in the working flow cell up to 1000 RU according </w:t>
      </w:r>
      <w:r w:rsidRPr="0048656C">
        <w:rPr>
          <w:b/>
        </w:rPr>
        <w:fldChar w:fldCharType="begin"/>
      </w:r>
      <w:r w:rsidRPr="0048656C">
        <w:instrText xml:space="preserve"> ADDIN ZOTERO_ITEM CSL_CITATION {"citationID":"L9GeW1bW","properties":{"formattedCitation":"[3]","plainCitation":"[3]","noteIndex":0},"citationItems":[{"id":681,"uris":["http://zotero.org/users/5130067/items/TNN4AQLA"],"uri":["http://zotero.org/users/5130067/items/TNN4AQLA"],"itemData":{"id":681,"type":"article-journal","abstract":"Isatin (indole-2,3-dione) is an endogenous indole that has a distinct and discontinuous distribution in the brain and in other mammalian tissues and body fluids. Its output is increased under conditions of stress and anxiety. Isatin itself and its analogues exhibit a wide range of pharmacological activities but its specific biological targets still are not well characterized. Affinity chromatography of Triton X-100 lysates of soluble and particulate fractions of mouse and rat whole brain homogenates on 5-aminocaproyl-isatin-Sepharose followed by subsequent proteomic analysis resulted in identification of 65 and 64 individual proteins, respectively. Isatin-binding capacity of some of the identified proteins has been validated in an optical biosensor study using a Biacore 3000 optical biosensor, 5-aminocarproyl-isatin, and 5-aminoisatin as the affinity ligands. The K(d) values (of 0.1-20 microM) obtained during the optical biosensor experiments were consistent with the range of K(d) values recently reported for [(3)H]isatin binding to brain sections. Although the number of isatin-binding proteins identified in the mouse and rat brain was similar, only 21 proteins (about one-third) were identical in the two species. This may be one reason for the differences in isatin effects in rats and mice reported in the literature.","container-title":"Proteomics","DOI":"10.1002/pmic.200900492","ISSN":"1615-9861","issue":"1","journalAbbreviation":"Proteomics","language":"eng","note":"PMID: 19834914","page":"23-37","source":"PubMed","title":"Isatin-binding proteins of rat and mouse brain: proteomic identification and optical biosensor validation","title-short":"Isatin-binding proteins of rat and mouse brain","volume":"10","author":[{"family":"Buneeva","given":"Olga"},{"family":"Gnedenko","given":"Oksana"},{"family":"Zgoda","given":"Victor"},{"family":"Kopylov","given":"Arthur"},{"family":"Glover","given":"Vivette"},{"family":"Ivanov","given":"Alexis"},{"family":"Medvedev","given":"Alexei"},{"family":"Archakov","given":"Alexander"}],"issued":{"date-parts":[["2010",1]]}}}],"schema":"https://github.com/citation-style-language/schema/raw/master/csl-citation.json"} </w:instrText>
      </w:r>
      <w:r w:rsidRPr="0048656C">
        <w:rPr>
          <w:b/>
        </w:rPr>
        <w:fldChar w:fldCharType="separate"/>
      </w:r>
      <w:r w:rsidRPr="0048656C">
        <w:t>[</w:t>
      </w:r>
      <w:r w:rsidR="00CA47E0">
        <w:t>Buneeva et al., 2010</w:t>
      </w:r>
      <w:r w:rsidRPr="0048656C">
        <w:t>]</w:t>
      </w:r>
      <w:r w:rsidRPr="0048656C">
        <w:rPr>
          <w:b/>
        </w:rPr>
        <w:fldChar w:fldCharType="end"/>
      </w:r>
      <w:r w:rsidRPr="0048656C">
        <w:t>. Samples of proteins (</w:t>
      </w:r>
      <w:proofErr w:type="gramStart"/>
      <w:r w:rsidRPr="0048656C">
        <w:t>1 µМ</w:t>
      </w:r>
      <w:proofErr w:type="gramEnd"/>
      <w:r w:rsidRPr="0048656C">
        <w:t xml:space="preserve"> solutions in running buffer) were injected for 5 min at a flow rate of 10 µL/min. For correction of non-specific binding the biosensor signal from the control flow cell (without 5-aminoisatin) was subtracted from the signal from the working flow cell (with the immobilized 5-aminoisatin). Solution containing 2M </w:t>
      </w:r>
      <w:proofErr w:type="spellStart"/>
      <w:r w:rsidRPr="0048656C">
        <w:t>NaCl</w:t>
      </w:r>
      <w:proofErr w:type="spellEnd"/>
      <w:r w:rsidRPr="0048656C">
        <w:t xml:space="preserve"> and 0.4% CHAPS </w:t>
      </w:r>
      <w:proofErr w:type="gramStart"/>
      <w:r w:rsidRPr="0048656C">
        <w:t>was used</w:t>
      </w:r>
      <w:proofErr w:type="gramEnd"/>
      <w:r w:rsidRPr="0048656C">
        <w:t xml:space="preserve"> for chip surface regeneration for 30 s at a flow rate of 25 µL/min. The following proteins were tested: BSA (1), beta-1-microglobulin (2), retinol-binding protein 4 (3), beta-2-microglobulin (4), mothers against decapentaplegic homolog 4 SMAD4 (5), alpha-fetoprotein (6), NADPH-dependent </w:t>
      </w:r>
      <w:proofErr w:type="spellStart"/>
      <w:r w:rsidRPr="0048656C">
        <w:t>adrenodoxin</w:t>
      </w:r>
      <w:proofErr w:type="spellEnd"/>
      <w:r w:rsidRPr="0048656C">
        <w:t xml:space="preserve"> reductase (ADR) (7), </w:t>
      </w:r>
      <w:proofErr w:type="spellStart"/>
      <w:r w:rsidRPr="0048656C">
        <w:t>ferrochelatase</w:t>
      </w:r>
      <w:proofErr w:type="spellEnd"/>
      <w:r w:rsidRPr="0048656C">
        <w:t xml:space="preserve"> (FECH) (8).</w:t>
      </w:r>
    </w:p>
    <w:p w14:paraId="7F10C203" w14:textId="77777777" w:rsidR="009A5DF8" w:rsidRPr="00E42BE9" w:rsidRDefault="00E42BE9">
      <w:pPr>
        <w:rPr>
          <w:rFonts w:ascii="Palatino Linotype" w:hAnsi="Palatino Linotype"/>
          <w:i/>
          <w:sz w:val="20"/>
          <w:szCs w:val="20"/>
          <w:lang w:val="en-US"/>
        </w:rPr>
      </w:pPr>
      <w:r w:rsidRPr="00E42BE9">
        <w:rPr>
          <w:rFonts w:ascii="Palatino Linotype" w:hAnsi="Palatino Linotype"/>
          <w:i/>
          <w:sz w:val="20"/>
          <w:szCs w:val="20"/>
          <w:lang w:val="en-US"/>
        </w:rPr>
        <w:t xml:space="preserve">SPR analysis of </w:t>
      </w:r>
      <w:proofErr w:type="spellStart"/>
      <w:r w:rsidRPr="00E42BE9">
        <w:rPr>
          <w:rFonts w:ascii="Palatino Linotype" w:hAnsi="Palatino Linotype"/>
          <w:i/>
          <w:sz w:val="20"/>
          <w:szCs w:val="20"/>
          <w:lang w:val="en-US"/>
        </w:rPr>
        <w:t>isatin</w:t>
      </w:r>
      <w:proofErr w:type="spellEnd"/>
      <w:r w:rsidRPr="00E42BE9">
        <w:rPr>
          <w:rFonts w:ascii="Palatino Linotype" w:hAnsi="Palatino Linotype"/>
          <w:i/>
          <w:sz w:val="20"/>
          <w:szCs w:val="20"/>
          <w:lang w:val="en-US"/>
        </w:rPr>
        <w:t xml:space="preserve"> influence on FECH/ADR complex formation</w:t>
      </w:r>
    </w:p>
    <w:p w14:paraId="40EFE6B3" w14:textId="77777777" w:rsidR="008D5A7E" w:rsidRDefault="00D902D4">
      <w:pPr>
        <w:rPr>
          <w:lang w:val="en-US"/>
        </w:rPr>
      </w:pPr>
      <w:r>
        <w:rPr>
          <w:noProof/>
          <w:lang w:eastAsia="ru-RU"/>
        </w:rPr>
        <w:drawing>
          <wp:inline distT="0" distB="0" distL="0" distR="0" wp14:anchorId="5210B2B1" wp14:editId="65A40125">
            <wp:extent cx="5940425" cy="341566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lem1.tif"/>
                    <pic:cNvPicPr/>
                  </pic:nvPicPr>
                  <pic:blipFill>
                    <a:blip r:embed="rId8">
                      <a:extLst>
                        <a:ext uri="{28A0092B-C50C-407E-A947-70E740481C1C}">
                          <a14:useLocalDpi xmlns:a14="http://schemas.microsoft.com/office/drawing/2010/main" val="0"/>
                        </a:ext>
                      </a:extLst>
                    </a:blip>
                    <a:stretch>
                      <a:fillRect/>
                    </a:stretch>
                  </pic:blipFill>
                  <pic:spPr>
                    <a:xfrm>
                      <a:off x="0" y="0"/>
                      <a:ext cx="5940425" cy="3415665"/>
                    </a:xfrm>
                    <a:prstGeom prst="rect">
                      <a:avLst/>
                    </a:prstGeom>
                  </pic:spPr>
                </pic:pic>
              </a:graphicData>
            </a:graphic>
          </wp:inline>
        </w:drawing>
      </w:r>
    </w:p>
    <w:p w14:paraId="060D9B4F" w14:textId="77777777" w:rsidR="001A72C4" w:rsidRDefault="00E42BE9">
      <w:pPr>
        <w:rPr>
          <w:rFonts w:ascii="Palatino Linotype" w:hAnsi="Palatino Linotype"/>
          <w:sz w:val="18"/>
          <w:szCs w:val="18"/>
          <w:lang w:val="en-US"/>
        </w:rPr>
      </w:pPr>
      <w:r w:rsidRPr="005C3C49">
        <w:rPr>
          <w:rFonts w:ascii="Palatino Linotype" w:hAnsi="Palatino Linotype"/>
          <w:b/>
          <w:sz w:val="18"/>
          <w:szCs w:val="18"/>
          <w:lang w:val="en-US"/>
        </w:rPr>
        <w:t>Figure S3</w:t>
      </w:r>
      <w:r w:rsidR="00D902D4" w:rsidRPr="005C3C49">
        <w:rPr>
          <w:rFonts w:ascii="Palatino Linotype" w:hAnsi="Palatino Linotype"/>
          <w:b/>
          <w:sz w:val="18"/>
          <w:szCs w:val="18"/>
          <w:lang w:val="en-US"/>
        </w:rPr>
        <w:t>.</w:t>
      </w:r>
      <w:r w:rsidR="00D902D4" w:rsidRPr="00E42BE9">
        <w:rPr>
          <w:rFonts w:ascii="Palatino Linotype" w:hAnsi="Palatino Linotype"/>
          <w:sz w:val="18"/>
          <w:szCs w:val="18"/>
          <w:lang w:val="en-US"/>
        </w:rPr>
        <w:t xml:space="preserve"> </w:t>
      </w:r>
      <w:r w:rsidR="00B54DF6" w:rsidRPr="00DB1C62">
        <w:rPr>
          <w:rFonts w:ascii="Palatino Linotype" w:hAnsi="Palatino Linotype"/>
          <w:sz w:val="18"/>
          <w:szCs w:val="18"/>
          <w:lang w:val="en-US"/>
        </w:rPr>
        <w:t xml:space="preserve">Typical SPR </w:t>
      </w:r>
      <w:proofErr w:type="spellStart"/>
      <w:r w:rsidR="00B54DF6" w:rsidRPr="00DB1C62">
        <w:rPr>
          <w:rFonts w:ascii="Palatino Linotype" w:hAnsi="Palatino Linotype"/>
          <w:sz w:val="18"/>
          <w:szCs w:val="18"/>
          <w:lang w:val="en-US"/>
        </w:rPr>
        <w:t>senso</w:t>
      </w:r>
      <w:r w:rsidR="00FC5159" w:rsidRPr="00DB1C62">
        <w:rPr>
          <w:rFonts w:ascii="Palatino Linotype" w:hAnsi="Palatino Linotype"/>
          <w:sz w:val="18"/>
          <w:szCs w:val="18"/>
          <w:lang w:val="en-US"/>
        </w:rPr>
        <w:t>r</w:t>
      </w:r>
      <w:r w:rsidR="00B54DF6" w:rsidRPr="00DB1C62">
        <w:rPr>
          <w:rFonts w:ascii="Palatino Linotype" w:hAnsi="Palatino Linotype"/>
          <w:sz w:val="18"/>
          <w:szCs w:val="18"/>
          <w:lang w:val="en-US"/>
        </w:rPr>
        <w:t>gra</w:t>
      </w:r>
      <w:r w:rsidR="00D575AD" w:rsidRPr="00DB1C62">
        <w:rPr>
          <w:rFonts w:ascii="Palatino Linotype" w:hAnsi="Palatino Linotype"/>
          <w:sz w:val="18"/>
          <w:szCs w:val="18"/>
          <w:lang w:val="en-US"/>
        </w:rPr>
        <w:t>ms</w:t>
      </w:r>
      <w:proofErr w:type="spellEnd"/>
      <w:r w:rsidR="00D575AD" w:rsidRPr="00DB1C62">
        <w:rPr>
          <w:rFonts w:ascii="Palatino Linotype" w:hAnsi="Palatino Linotype"/>
          <w:sz w:val="18"/>
          <w:szCs w:val="18"/>
          <w:lang w:val="en-US"/>
        </w:rPr>
        <w:t xml:space="preserve"> of</w:t>
      </w:r>
      <w:r w:rsidR="00D575AD" w:rsidRPr="00D575AD">
        <w:rPr>
          <w:rFonts w:ascii="Palatino Linotype" w:hAnsi="Palatino Linotype"/>
          <w:sz w:val="18"/>
          <w:szCs w:val="18"/>
          <w:lang w:val="en-US"/>
        </w:rPr>
        <w:t xml:space="preserve"> complex formation between immobilized on the chip </w:t>
      </w:r>
      <w:proofErr w:type="spellStart"/>
      <w:r w:rsidR="00D575AD" w:rsidRPr="00D575AD">
        <w:rPr>
          <w:rFonts w:ascii="Palatino Linotype" w:hAnsi="Palatino Linotype"/>
          <w:sz w:val="18"/>
          <w:szCs w:val="18"/>
          <w:lang w:val="en-US"/>
        </w:rPr>
        <w:t>ferrochelatase</w:t>
      </w:r>
      <w:proofErr w:type="spellEnd"/>
      <w:r w:rsidR="00D575AD" w:rsidRPr="00D575AD">
        <w:rPr>
          <w:rFonts w:ascii="Palatino Linotype" w:hAnsi="Palatino Linotype"/>
          <w:sz w:val="18"/>
          <w:szCs w:val="18"/>
          <w:lang w:val="en-US"/>
        </w:rPr>
        <w:t xml:space="preserve"> (FECH) monomer and three concentrations of NADPH-dependent </w:t>
      </w:r>
      <w:proofErr w:type="spellStart"/>
      <w:r w:rsidR="00D575AD" w:rsidRPr="00D575AD">
        <w:rPr>
          <w:rFonts w:ascii="Palatino Linotype" w:hAnsi="Palatino Linotype"/>
          <w:sz w:val="18"/>
          <w:szCs w:val="18"/>
          <w:lang w:val="en-US"/>
        </w:rPr>
        <w:t>adrenodoxin</w:t>
      </w:r>
      <w:proofErr w:type="spellEnd"/>
      <w:r w:rsidR="00D575AD" w:rsidRPr="00D575AD">
        <w:rPr>
          <w:rFonts w:ascii="Palatino Linotype" w:hAnsi="Palatino Linotype"/>
          <w:sz w:val="18"/>
          <w:szCs w:val="18"/>
          <w:lang w:val="en-US"/>
        </w:rPr>
        <w:t xml:space="preserve"> reductase (ADR) (bottom-up, 0.5 µM, 5 µM, 20 µM) in </w:t>
      </w:r>
      <w:r w:rsidR="00D575AD" w:rsidRPr="005C3C49">
        <w:rPr>
          <w:rFonts w:ascii="Palatino Linotype" w:hAnsi="Palatino Linotype"/>
          <w:sz w:val="18"/>
          <w:szCs w:val="18"/>
          <w:lang w:val="en-US"/>
        </w:rPr>
        <w:t xml:space="preserve">the absence (solid line) or presence of 100 µM </w:t>
      </w:r>
      <w:proofErr w:type="spellStart"/>
      <w:r w:rsidR="00D575AD" w:rsidRPr="005C3C49">
        <w:rPr>
          <w:rFonts w:ascii="Palatino Linotype" w:hAnsi="Palatino Linotype"/>
          <w:sz w:val="18"/>
          <w:szCs w:val="18"/>
          <w:lang w:val="en-US"/>
        </w:rPr>
        <w:t>isatin</w:t>
      </w:r>
      <w:proofErr w:type="spellEnd"/>
      <w:r w:rsidR="00D575AD" w:rsidRPr="005C3C49">
        <w:rPr>
          <w:rFonts w:ascii="Palatino Linotype" w:hAnsi="Palatino Linotype"/>
          <w:sz w:val="18"/>
          <w:szCs w:val="18"/>
          <w:lang w:val="en-US"/>
        </w:rPr>
        <w:t xml:space="preserve"> (dotted line).</w:t>
      </w:r>
    </w:p>
    <w:p w14:paraId="0E29B542" w14:textId="77777777" w:rsidR="00E42BE9" w:rsidRPr="0048656C" w:rsidRDefault="00E42BE9" w:rsidP="00E42BE9">
      <w:pPr>
        <w:pStyle w:val="MDPI21heading1"/>
        <w:rPr>
          <w:b w:val="0"/>
          <w:i/>
          <w:iCs/>
        </w:rPr>
      </w:pPr>
      <w:r w:rsidRPr="0048656C">
        <w:rPr>
          <w:b w:val="0"/>
          <w:i/>
          <w:iCs/>
        </w:rPr>
        <w:lastRenderedPageBreak/>
        <w:t>Rebuilding of FECH dimer on the optical chip of biosensor</w:t>
      </w:r>
    </w:p>
    <w:p w14:paraId="711B4E1C" w14:textId="77777777" w:rsidR="00E42BE9" w:rsidRPr="0048656C" w:rsidRDefault="00E42BE9" w:rsidP="00E42BE9">
      <w:pPr>
        <w:pStyle w:val="MDPI52figure"/>
      </w:pPr>
      <w:r w:rsidRPr="0048656C">
        <w:t xml:space="preserve"> </w:t>
      </w:r>
      <w:r w:rsidRPr="0048656C">
        <w:rPr>
          <w:noProof/>
          <w:lang w:val="ru-RU" w:eastAsia="ru-RU" w:bidi="ar-SA"/>
        </w:rPr>
        <w:drawing>
          <wp:inline distT="0" distB="0" distL="0" distR="0" wp14:anchorId="5FCCE844" wp14:editId="52F77442">
            <wp:extent cx="3651175" cy="2757054"/>
            <wp:effectExtent l="0" t="0" r="6985" b="571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453" cy="2798040"/>
                    </a:xfrm>
                    <a:prstGeom prst="rect">
                      <a:avLst/>
                    </a:prstGeom>
                    <a:noFill/>
                  </pic:spPr>
                </pic:pic>
              </a:graphicData>
            </a:graphic>
          </wp:inline>
        </w:drawing>
      </w:r>
    </w:p>
    <w:p w14:paraId="3F907DA9" w14:textId="77777777" w:rsidR="00E42BE9" w:rsidRPr="0048656C" w:rsidRDefault="00E42BE9" w:rsidP="00E42BE9">
      <w:pPr>
        <w:pStyle w:val="MDPI51figurecaption"/>
        <w:rPr>
          <w:b/>
        </w:rPr>
      </w:pPr>
      <w:r w:rsidRPr="005C3C49">
        <w:rPr>
          <w:b/>
          <w:bCs/>
        </w:rPr>
        <w:t xml:space="preserve">Figure S4. </w:t>
      </w:r>
      <w:r w:rsidRPr="005C3C49">
        <w:t xml:space="preserve">The typical SPR </w:t>
      </w:r>
      <w:proofErr w:type="spellStart"/>
      <w:r w:rsidRPr="005C3C49">
        <w:t>sensorgram</w:t>
      </w:r>
      <w:proofErr w:type="spellEnd"/>
      <w:r w:rsidRPr="005C3C49">
        <w:t xml:space="preserve"> of the formation of a dimeric form of </w:t>
      </w:r>
      <w:proofErr w:type="spellStart"/>
      <w:r w:rsidRPr="005C3C49">
        <w:t>ferrochelatase</w:t>
      </w:r>
      <w:proofErr w:type="spellEnd"/>
      <w:r w:rsidRPr="005C3C49">
        <w:t xml:space="preserve"> (FECH) on the optical chip CМ5 with immobilized FECH monomers. FECH solution in running buffer (5 µM) </w:t>
      </w:r>
      <w:proofErr w:type="gramStart"/>
      <w:r w:rsidRPr="005C3C49">
        <w:t>was injected</w:t>
      </w:r>
      <w:proofErr w:type="gramEnd"/>
      <w:r w:rsidRPr="005C3C49">
        <w:t xml:space="preserve"> until an equilibrium</w:t>
      </w:r>
      <w:r w:rsidRPr="0048656C">
        <w:t xml:space="preserve"> biosensor signal was reached.</w:t>
      </w:r>
    </w:p>
    <w:p w14:paraId="25318F0B" w14:textId="77777777" w:rsidR="00E42BE9" w:rsidRPr="00E42BE9" w:rsidRDefault="00E42BE9" w:rsidP="00E42BE9">
      <w:pPr>
        <w:pStyle w:val="MDPI31text"/>
        <w:rPr>
          <w:b/>
          <w:sz w:val="18"/>
          <w:szCs w:val="18"/>
        </w:rPr>
      </w:pPr>
      <w:r w:rsidRPr="00E42BE9">
        <w:rPr>
          <w:sz w:val="18"/>
          <w:szCs w:val="18"/>
        </w:rPr>
        <w:t xml:space="preserve">Right after that, the NHS/EDC mixture (10 </w:t>
      </w:r>
      <w:proofErr w:type="spellStart"/>
      <w:r w:rsidRPr="00E42BE9">
        <w:rPr>
          <w:sz w:val="18"/>
          <w:szCs w:val="18"/>
        </w:rPr>
        <w:t>μL</w:t>
      </w:r>
      <w:proofErr w:type="spellEnd"/>
      <w:r w:rsidRPr="00E42BE9">
        <w:rPr>
          <w:sz w:val="18"/>
          <w:szCs w:val="18"/>
        </w:rPr>
        <w:t xml:space="preserve"> 400 </w:t>
      </w:r>
      <w:proofErr w:type="spellStart"/>
      <w:r w:rsidRPr="00E42BE9">
        <w:rPr>
          <w:sz w:val="18"/>
          <w:szCs w:val="18"/>
        </w:rPr>
        <w:t>mM</w:t>
      </w:r>
      <w:proofErr w:type="spellEnd"/>
      <w:r w:rsidRPr="00E42BE9">
        <w:rPr>
          <w:sz w:val="18"/>
          <w:szCs w:val="18"/>
        </w:rPr>
        <w:t xml:space="preserve"> EDC and 10 </w:t>
      </w:r>
      <w:proofErr w:type="spellStart"/>
      <w:r w:rsidRPr="00E42BE9">
        <w:rPr>
          <w:sz w:val="18"/>
          <w:szCs w:val="18"/>
        </w:rPr>
        <w:t>μL</w:t>
      </w:r>
      <w:proofErr w:type="spellEnd"/>
      <w:r w:rsidRPr="00E42BE9">
        <w:rPr>
          <w:sz w:val="18"/>
          <w:szCs w:val="18"/>
        </w:rPr>
        <w:t xml:space="preserve"> 100 </w:t>
      </w:r>
      <w:proofErr w:type="spellStart"/>
      <w:r w:rsidRPr="00E42BE9">
        <w:rPr>
          <w:sz w:val="18"/>
          <w:szCs w:val="18"/>
        </w:rPr>
        <w:t>mM</w:t>
      </w:r>
      <w:proofErr w:type="spellEnd"/>
      <w:r w:rsidRPr="00E42BE9">
        <w:rPr>
          <w:sz w:val="18"/>
          <w:szCs w:val="18"/>
        </w:rPr>
        <w:t xml:space="preserve"> NHS) </w:t>
      </w:r>
      <w:proofErr w:type="gramStart"/>
      <w:r w:rsidRPr="00E42BE9">
        <w:rPr>
          <w:sz w:val="18"/>
          <w:szCs w:val="18"/>
        </w:rPr>
        <w:t>was injected</w:t>
      </w:r>
      <w:proofErr w:type="gramEnd"/>
      <w:r w:rsidRPr="00E42BE9">
        <w:rPr>
          <w:sz w:val="18"/>
          <w:szCs w:val="18"/>
        </w:rPr>
        <w:t xml:space="preserve"> for 2 minutes for chemical stabilization of the FECH dimers by forming additional covalent bonds between FECH subunits in dimers, or between the FECH subunits of adjacent dimers, or between the FECH subunits and dextran matrix. </w:t>
      </w:r>
    </w:p>
    <w:p w14:paraId="794959E1" w14:textId="77777777" w:rsidR="00E42BE9" w:rsidRDefault="00E42BE9">
      <w:pPr>
        <w:rPr>
          <w:rFonts w:ascii="Palatino Linotype" w:hAnsi="Palatino Linotype"/>
          <w:sz w:val="18"/>
          <w:szCs w:val="18"/>
          <w:lang w:val="en-US"/>
        </w:rPr>
      </w:pPr>
    </w:p>
    <w:p w14:paraId="0E0A187C" w14:textId="77777777" w:rsidR="00CA47E0" w:rsidRDefault="00CA47E0">
      <w:pPr>
        <w:rPr>
          <w:rFonts w:ascii="Palatino Linotype" w:hAnsi="Palatino Linotype"/>
          <w:sz w:val="18"/>
          <w:szCs w:val="18"/>
          <w:lang w:val="en-US"/>
        </w:rPr>
      </w:pPr>
      <w:r>
        <w:rPr>
          <w:rFonts w:ascii="Palatino Linotype" w:hAnsi="Palatino Linotype"/>
          <w:sz w:val="18"/>
          <w:szCs w:val="18"/>
          <w:lang w:val="en-US"/>
        </w:rPr>
        <w:t>Literature</w:t>
      </w:r>
    </w:p>
    <w:p w14:paraId="3459F762" w14:textId="77777777" w:rsidR="00CA47E0" w:rsidRPr="00D575AD" w:rsidRDefault="00CA47E0">
      <w:pPr>
        <w:rPr>
          <w:rFonts w:ascii="Palatino Linotype" w:hAnsi="Palatino Linotype"/>
          <w:sz w:val="18"/>
          <w:lang w:val="en-US"/>
        </w:rPr>
      </w:pPr>
      <w:proofErr w:type="spellStart"/>
      <w:r w:rsidRPr="00CA47E0">
        <w:rPr>
          <w:rFonts w:ascii="Palatino Linotype" w:hAnsi="Palatino Linotype"/>
          <w:sz w:val="18"/>
          <w:lang w:val="en-US"/>
        </w:rPr>
        <w:t>Buneeva</w:t>
      </w:r>
      <w:proofErr w:type="spellEnd"/>
      <w:r w:rsidRPr="00CA47E0">
        <w:rPr>
          <w:rFonts w:ascii="Palatino Linotype" w:hAnsi="Palatino Linotype"/>
          <w:sz w:val="18"/>
          <w:lang w:val="en-US"/>
        </w:rPr>
        <w:t xml:space="preserve">, O.; </w:t>
      </w:r>
      <w:proofErr w:type="spellStart"/>
      <w:r w:rsidRPr="00CA47E0">
        <w:rPr>
          <w:rFonts w:ascii="Palatino Linotype" w:hAnsi="Palatino Linotype"/>
          <w:sz w:val="18"/>
          <w:lang w:val="en-US"/>
        </w:rPr>
        <w:t>Gnedenko</w:t>
      </w:r>
      <w:proofErr w:type="spellEnd"/>
      <w:r w:rsidRPr="00CA47E0">
        <w:rPr>
          <w:rFonts w:ascii="Palatino Linotype" w:hAnsi="Palatino Linotype"/>
          <w:sz w:val="18"/>
          <w:lang w:val="en-US"/>
        </w:rPr>
        <w:t xml:space="preserve">, O.; </w:t>
      </w:r>
      <w:proofErr w:type="spellStart"/>
      <w:r w:rsidRPr="00CA47E0">
        <w:rPr>
          <w:rFonts w:ascii="Palatino Linotype" w:hAnsi="Palatino Linotype"/>
          <w:sz w:val="18"/>
          <w:lang w:val="en-US"/>
        </w:rPr>
        <w:t>Zgoda</w:t>
      </w:r>
      <w:proofErr w:type="spellEnd"/>
      <w:r w:rsidRPr="00CA47E0">
        <w:rPr>
          <w:rFonts w:ascii="Palatino Linotype" w:hAnsi="Palatino Linotype"/>
          <w:sz w:val="18"/>
          <w:lang w:val="en-US"/>
        </w:rPr>
        <w:t xml:space="preserve">, V.; </w:t>
      </w:r>
      <w:proofErr w:type="spellStart"/>
      <w:r w:rsidRPr="00CA47E0">
        <w:rPr>
          <w:rFonts w:ascii="Palatino Linotype" w:hAnsi="Palatino Linotype"/>
          <w:sz w:val="18"/>
          <w:lang w:val="en-US"/>
        </w:rPr>
        <w:t>Kopylov</w:t>
      </w:r>
      <w:proofErr w:type="spellEnd"/>
      <w:r w:rsidRPr="00CA47E0">
        <w:rPr>
          <w:rFonts w:ascii="Palatino Linotype" w:hAnsi="Palatino Linotype"/>
          <w:sz w:val="18"/>
          <w:lang w:val="en-US"/>
        </w:rPr>
        <w:t xml:space="preserve">, A.; Glover, V.; Ivanov, A.; Medvedev, A.; </w:t>
      </w:r>
      <w:proofErr w:type="spellStart"/>
      <w:r w:rsidRPr="00CA47E0">
        <w:rPr>
          <w:rFonts w:ascii="Palatino Linotype" w:hAnsi="Palatino Linotype"/>
          <w:sz w:val="18"/>
          <w:lang w:val="en-US"/>
        </w:rPr>
        <w:t>Archakov</w:t>
      </w:r>
      <w:proofErr w:type="spellEnd"/>
      <w:r w:rsidRPr="00CA47E0">
        <w:rPr>
          <w:rFonts w:ascii="Palatino Linotype" w:hAnsi="Palatino Linotype"/>
          <w:sz w:val="18"/>
          <w:lang w:val="en-US"/>
        </w:rPr>
        <w:t xml:space="preserve">, A. </w:t>
      </w:r>
      <w:proofErr w:type="spellStart"/>
      <w:r w:rsidRPr="00CA47E0">
        <w:rPr>
          <w:rFonts w:ascii="Palatino Linotype" w:hAnsi="Palatino Linotype"/>
          <w:sz w:val="18"/>
          <w:lang w:val="en-US"/>
        </w:rPr>
        <w:t>Isatin</w:t>
      </w:r>
      <w:proofErr w:type="spellEnd"/>
      <w:r w:rsidRPr="00CA47E0">
        <w:rPr>
          <w:rFonts w:ascii="Palatino Linotype" w:hAnsi="Palatino Linotype"/>
          <w:sz w:val="18"/>
          <w:lang w:val="en-US"/>
        </w:rPr>
        <w:t xml:space="preserve">-binding proteins of rat and mouse brain: proteomic identification and optical biosensor validation. </w:t>
      </w:r>
      <w:r w:rsidRPr="00D575AD">
        <w:rPr>
          <w:rFonts w:ascii="Palatino Linotype" w:hAnsi="Palatino Linotype"/>
          <w:i/>
          <w:iCs/>
          <w:sz w:val="18"/>
          <w:lang w:val="en-US"/>
        </w:rPr>
        <w:t>Proteomics</w:t>
      </w:r>
      <w:r w:rsidRPr="00D575AD">
        <w:rPr>
          <w:rFonts w:ascii="Palatino Linotype" w:hAnsi="Palatino Linotype"/>
          <w:sz w:val="18"/>
          <w:lang w:val="en-US"/>
        </w:rPr>
        <w:t xml:space="preserve"> </w:t>
      </w:r>
      <w:r w:rsidRPr="00D575AD">
        <w:rPr>
          <w:rFonts w:ascii="Palatino Linotype" w:hAnsi="Palatino Linotype"/>
          <w:b/>
          <w:bCs/>
          <w:sz w:val="18"/>
          <w:lang w:val="en-US"/>
        </w:rPr>
        <w:t>2010</w:t>
      </w:r>
      <w:r w:rsidRPr="00D575AD">
        <w:rPr>
          <w:rFonts w:ascii="Palatino Linotype" w:hAnsi="Palatino Linotype"/>
          <w:sz w:val="18"/>
          <w:lang w:val="en-US"/>
        </w:rPr>
        <w:t xml:space="preserve">, </w:t>
      </w:r>
      <w:r w:rsidRPr="00D575AD">
        <w:rPr>
          <w:rFonts w:ascii="Palatino Linotype" w:hAnsi="Palatino Linotype"/>
          <w:i/>
          <w:iCs/>
          <w:sz w:val="18"/>
          <w:lang w:val="en-US"/>
        </w:rPr>
        <w:t>10</w:t>
      </w:r>
      <w:r w:rsidRPr="00D575AD">
        <w:rPr>
          <w:rFonts w:ascii="Palatino Linotype" w:hAnsi="Palatino Linotype"/>
          <w:sz w:val="18"/>
          <w:lang w:val="en-US"/>
        </w:rPr>
        <w:t>, 23–37, doi:10.1002/pmic.200900492.</w:t>
      </w:r>
    </w:p>
    <w:p w14:paraId="7A743620" w14:textId="77777777" w:rsidR="00CA47E0" w:rsidRDefault="00CA47E0">
      <w:pPr>
        <w:rPr>
          <w:rFonts w:ascii="Palatino Linotype" w:hAnsi="Palatino Linotype"/>
          <w:sz w:val="18"/>
          <w:lang w:val="en-US"/>
        </w:rPr>
      </w:pPr>
      <w:r w:rsidRPr="00CA47E0">
        <w:rPr>
          <w:rFonts w:ascii="Palatino Linotype" w:hAnsi="Palatino Linotype"/>
          <w:sz w:val="18"/>
          <w:lang w:val="en-US"/>
        </w:rPr>
        <w:t xml:space="preserve">Lambeth, J.D.; </w:t>
      </w:r>
      <w:proofErr w:type="spellStart"/>
      <w:r w:rsidRPr="00CA47E0">
        <w:rPr>
          <w:rFonts w:ascii="Palatino Linotype" w:hAnsi="Palatino Linotype"/>
          <w:sz w:val="18"/>
          <w:lang w:val="en-US"/>
        </w:rPr>
        <w:t>Geren</w:t>
      </w:r>
      <w:proofErr w:type="spellEnd"/>
      <w:r w:rsidRPr="00CA47E0">
        <w:rPr>
          <w:rFonts w:ascii="Palatino Linotype" w:hAnsi="Palatino Linotype"/>
          <w:sz w:val="18"/>
          <w:lang w:val="en-US"/>
        </w:rPr>
        <w:t xml:space="preserve">, L.M.; Millett, F. </w:t>
      </w:r>
      <w:proofErr w:type="spellStart"/>
      <w:r w:rsidRPr="00CA47E0">
        <w:rPr>
          <w:rFonts w:ascii="Palatino Linotype" w:hAnsi="Palatino Linotype"/>
          <w:sz w:val="18"/>
          <w:lang w:val="en-US"/>
        </w:rPr>
        <w:t>Adrenodoxin</w:t>
      </w:r>
      <w:proofErr w:type="spellEnd"/>
      <w:r w:rsidRPr="00CA47E0">
        <w:rPr>
          <w:rFonts w:ascii="Palatino Linotype" w:hAnsi="Palatino Linotype"/>
          <w:sz w:val="18"/>
          <w:lang w:val="en-US"/>
        </w:rPr>
        <w:t xml:space="preserve"> interaction with </w:t>
      </w:r>
      <w:proofErr w:type="spellStart"/>
      <w:r w:rsidRPr="00CA47E0">
        <w:rPr>
          <w:rFonts w:ascii="Palatino Linotype" w:hAnsi="Palatino Linotype"/>
          <w:sz w:val="18"/>
          <w:lang w:val="en-US"/>
        </w:rPr>
        <w:t>adrenodoxin</w:t>
      </w:r>
      <w:proofErr w:type="spellEnd"/>
      <w:r w:rsidRPr="00CA47E0">
        <w:rPr>
          <w:rFonts w:ascii="Palatino Linotype" w:hAnsi="Palatino Linotype"/>
          <w:sz w:val="18"/>
          <w:lang w:val="en-US"/>
        </w:rPr>
        <w:t xml:space="preserve"> reductase and cytochrome P-450scc. Cross-linking of protein complexes and effects of </w:t>
      </w:r>
      <w:proofErr w:type="spellStart"/>
      <w:r w:rsidRPr="00CA47E0">
        <w:rPr>
          <w:rFonts w:ascii="Palatino Linotype" w:hAnsi="Palatino Linotype"/>
          <w:sz w:val="18"/>
          <w:lang w:val="en-US"/>
        </w:rPr>
        <w:t>adrenodoxin</w:t>
      </w:r>
      <w:proofErr w:type="spellEnd"/>
      <w:r w:rsidRPr="00CA47E0">
        <w:rPr>
          <w:rFonts w:ascii="Palatino Linotype" w:hAnsi="Palatino Linotype"/>
          <w:sz w:val="18"/>
          <w:lang w:val="en-US"/>
        </w:rPr>
        <w:t xml:space="preserve"> modification by 1-ethyl-3-(3-dimethylaminopropyl</w:t>
      </w:r>
      <w:proofErr w:type="gramStart"/>
      <w:r w:rsidRPr="00CA47E0">
        <w:rPr>
          <w:rFonts w:ascii="Palatino Linotype" w:hAnsi="Palatino Linotype"/>
          <w:sz w:val="18"/>
          <w:lang w:val="en-US"/>
        </w:rPr>
        <w:t>)</w:t>
      </w:r>
      <w:proofErr w:type="spellStart"/>
      <w:r w:rsidRPr="00CA47E0">
        <w:rPr>
          <w:rFonts w:ascii="Palatino Linotype" w:hAnsi="Palatino Linotype"/>
          <w:sz w:val="18"/>
          <w:lang w:val="en-US"/>
        </w:rPr>
        <w:t>carbodiimide</w:t>
      </w:r>
      <w:proofErr w:type="spellEnd"/>
      <w:proofErr w:type="gramEnd"/>
      <w:r w:rsidRPr="00CA47E0">
        <w:rPr>
          <w:rFonts w:ascii="Palatino Linotype" w:hAnsi="Palatino Linotype"/>
          <w:sz w:val="18"/>
          <w:lang w:val="en-US"/>
        </w:rPr>
        <w:t xml:space="preserve">. </w:t>
      </w:r>
      <w:r w:rsidRPr="00D00EB5">
        <w:rPr>
          <w:rFonts w:ascii="Palatino Linotype" w:hAnsi="Palatino Linotype"/>
          <w:i/>
          <w:iCs/>
          <w:sz w:val="18"/>
          <w:lang w:val="en-US"/>
        </w:rPr>
        <w:t>J. Biol. Chem.</w:t>
      </w:r>
      <w:r w:rsidRPr="00D00EB5">
        <w:rPr>
          <w:rFonts w:ascii="Palatino Linotype" w:hAnsi="Palatino Linotype"/>
          <w:sz w:val="18"/>
          <w:lang w:val="en-US"/>
        </w:rPr>
        <w:t xml:space="preserve"> </w:t>
      </w:r>
      <w:r w:rsidRPr="00D00EB5">
        <w:rPr>
          <w:rFonts w:ascii="Palatino Linotype" w:hAnsi="Palatino Linotype"/>
          <w:b/>
          <w:bCs/>
          <w:sz w:val="18"/>
          <w:lang w:val="en-US"/>
        </w:rPr>
        <w:t>1984</w:t>
      </w:r>
      <w:r w:rsidRPr="00D00EB5">
        <w:rPr>
          <w:rFonts w:ascii="Palatino Linotype" w:hAnsi="Palatino Linotype"/>
          <w:sz w:val="18"/>
          <w:lang w:val="en-US"/>
        </w:rPr>
        <w:t xml:space="preserve">, </w:t>
      </w:r>
      <w:r w:rsidRPr="00D00EB5">
        <w:rPr>
          <w:rFonts w:ascii="Palatino Linotype" w:hAnsi="Palatino Linotype"/>
          <w:i/>
          <w:iCs/>
          <w:sz w:val="18"/>
          <w:lang w:val="en-US"/>
        </w:rPr>
        <w:t>259</w:t>
      </w:r>
      <w:r w:rsidRPr="00D00EB5">
        <w:rPr>
          <w:rFonts w:ascii="Palatino Linotype" w:hAnsi="Palatino Linotype"/>
          <w:sz w:val="18"/>
          <w:lang w:val="en-US"/>
        </w:rPr>
        <w:t>, 10025–10029.</w:t>
      </w:r>
    </w:p>
    <w:p w14:paraId="36603FC2" w14:textId="77777777" w:rsidR="00DD6BB5" w:rsidRDefault="00DD6BB5">
      <w:pPr>
        <w:rPr>
          <w:rFonts w:ascii="Palatino Linotype" w:hAnsi="Palatino Linotype"/>
          <w:sz w:val="18"/>
          <w:lang w:val="en-US"/>
        </w:rPr>
      </w:pPr>
    </w:p>
    <w:p w14:paraId="19E51CEE" w14:textId="6EAE7D12" w:rsidR="00DD6BB5" w:rsidRDefault="00DD6BB5" w:rsidP="00DD6BB5">
      <w:pPr>
        <w:rPr>
          <w:lang w:val="en-US"/>
        </w:rPr>
      </w:pPr>
    </w:p>
    <w:p w14:paraId="7475CFE3" w14:textId="77777777" w:rsidR="00703DCA" w:rsidRDefault="00703DCA" w:rsidP="00DD6BB5">
      <w:pPr>
        <w:rPr>
          <w:lang w:val="en-US"/>
        </w:rPr>
      </w:pPr>
    </w:p>
    <w:p w14:paraId="66B51DBD" w14:textId="77777777" w:rsidR="00703DCA" w:rsidRDefault="00703DCA" w:rsidP="00DD6BB5">
      <w:pPr>
        <w:rPr>
          <w:lang w:val="en-US"/>
        </w:rPr>
      </w:pPr>
    </w:p>
    <w:p w14:paraId="4D42D99D" w14:textId="77777777" w:rsidR="00703DCA" w:rsidRDefault="00703DCA" w:rsidP="00DD6BB5">
      <w:pPr>
        <w:rPr>
          <w:lang w:val="en-US"/>
        </w:rPr>
      </w:pPr>
    </w:p>
    <w:p w14:paraId="18A342D7" w14:textId="77777777" w:rsidR="00703DCA" w:rsidRDefault="00703DCA" w:rsidP="00DD6BB5">
      <w:pPr>
        <w:rPr>
          <w:lang w:val="en-US"/>
        </w:rPr>
      </w:pPr>
    </w:p>
    <w:p w14:paraId="4A47EDAC" w14:textId="77777777" w:rsidR="00703DCA" w:rsidRDefault="00703DCA" w:rsidP="00DD6BB5">
      <w:pPr>
        <w:rPr>
          <w:lang w:val="en-US"/>
        </w:rPr>
      </w:pPr>
    </w:p>
    <w:p w14:paraId="4475C8D5" w14:textId="77777777" w:rsidR="00703DCA" w:rsidRDefault="00703DCA" w:rsidP="00DD6BB5">
      <w:pPr>
        <w:rPr>
          <w:lang w:val="en-US"/>
        </w:rPr>
      </w:pPr>
    </w:p>
    <w:p w14:paraId="7125F68A" w14:textId="77777777" w:rsidR="001A72C4" w:rsidRDefault="001A72C4" w:rsidP="00DD6BB5">
      <w:pPr>
        <w:rPr>
          <w:lang w:val="en-US"/>
        </w:rPr>
      </w:pPr>
    </w:p>
    <w:p w14:paraId="586FF302" w14:textId="77777777" w:rsidR="001A72C4" w:rsidRDefault="001A72C4" w:rsidP="00DD6BB5">
      <w:pPr>
        <w:rPr>
          <w:lang w:val="en-US"/>
        </w:rPr>
      </w:pPr>
    </w:p>
    <w:p w14:paraId="75A67C0D" w14:textId="77777777" w:rsidR="00703DCA" w:rsidRDefault="00703DCA" w:rsidP="00DD6BB5">
      <w:pPr>
        <w:rPr>
          <w:lang w:val="en-US"/>
        </w:rPr>
      </w:pPr>
    </w:p>
    <w:p w14:paraId="0593837F" w14:textId="159381F9" w:rsidR="00DD6BB5" w:rsidRPr="00DB1C62" w:rsidRDefault="00DD6BB5" w:rsidP="00DD6BB5">
      <w:pPr>
        <w:rPr>
          <w:rFonts w:ascii="Palatino Linotype" w:hAnsi="Palatino Linotype"/>
          <w:sz w:val="18"/>
          <w:szCs w:val="18"/>
          <w:lang w:val="en-US"/>
        </w:rPr>
      </w:pPr>
      <w:r w:rsidRPr="00DB1C62">
        <w:rPr>
          <w:rFonts w:ascii="Palatino Linotype" w:hAnsi="Palatino Linotype"/>
          <w:b/>
          <w:sz w:val="18"/>
          <w:szCs w:val="18"/>
          <w:lang w:val="en-US"/>
        </w:rPr>
        <w:lastRenderedPageBreak/>
        <w:t>Table S</w:t>
      </w:r>
      <w:r w:rsidR="00703DCA" w:rsidRPr="00DB1C62">
        <w:rPr>
          <w:rFonts w:ascii="Palatino Linotype" w:hAnsi="Palatino Linotype"/>
          <w:b/>
          <w:sz w:val="18"/>
          <w:szCs w:val="18"/>
          <w:lang w:val="en-US"/>
        </w:rPr>
        <w:t>1</w:t>
      </w:r>
      <w:r w:rsidRPr="00DB1C62">
        <w:rPr>
          <w:rFonts w:ascii="Palatino Linotype" w:hAnsi="Palatino Linotype"/>
          <w:b/>
          <w:sz w:val="18"/>
          <w:szCs w:val="18"/>
          <w:lang w:val="en-US"/>
        </w:rPr>
        <w:t>.</w:t>
      </w:r>
      <w:r w:rsidRPr="00DB1C62">
        <w:rPr>
          <w:rFonts w:ascii="Palatino Linotype" w:hAnsi="Palatino Linotype"/>
          <w:sz w:val="18"/>
          <w:szCs w:val="18"/>
          <w:lang w:val="en-US"/>
        </w:rPr>
        <w:t xml:space="preserve"> A fragment of the ZDOCK output file for top 10 </w:t>
      </w:r>
      <w:r w:rsidRPr="00DB1C62">
        <w:rPr>
          <w:rFonts w:ascii="Palatino Linotype" w:hAnsi="Palatino Linotype" w:cs="Times New Roman"/>
          <w:sz w:val="18"/>
          <w:szCs w:val="18"/>
          <w:lang w:val="en-US"/>
        </w:rPr>
        <w:t>FECH/ADR complexes</w:t>
      </w:r>
      <w:r w:rsidR="00703DCA" w:rsidRPr="00DB1C62">
        <w:rPr>
          <w:rFonts w:ascii="Palatino Linotype" w:hAnsi="Palatino Linotype" w:cs="Times New Roman"/>
          <w:sz w:val="18"/>
          <w:szCs w:val="18"/>
          <w:lang w:val="en-US"/>
        </w:rPr>
        <w:t xml:space="preserve"> (Header lines).</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3"/>
        <w:gridCol w:w="2185"/>
        <w:gridCol w:w="1920"/>
        <w:gridCol w:w="1920"/>
        <w:gridCol w:w="1673"/>
      </w:tblGrid>
      <w:tr w:rsidR="00703DCA" w:rsidRPr="00DB1C62" w14:paraId="51B598C6" w14:textId="77777777" w:rsidTr="00703DCA">
        <w:tc>
          <w:tcPr>
            <w:tcW w:w="1873" w:type="dxa"/>
            <w:tcBorders>
              <w:top w:val="single" w:sz="4" w:space="0" w:color="auto"/>
              <w:bottom w:val="single" w:sz="4" w:space="0" w:color="auto"/>
            </w:tcBorders>
            <w:vAlign w:val="center"/>
          </w:tcPr>
          <w:p w14:paraId="3E16A5C4" w14:textId="77777777" w:rsidR="00703DCA" w:rsidRPr="00DB1C62" w:rsidRDefault="00703DCA" w:rsidP="00703DCA">
            <w:pPr>
              <w:jc w:val="center"/>
              <w:rPr>
                <w:rFonts w:ascii="Palatino Linotype" w:hAnsi="Palatino Linotype"/>
                <w:b/>
                <w:sz w:val="20"/>
                <w:szCs w:val="20"/>
                <w:lang w:val="en-US"/>
              </w:rPr>
            </w:pPr>
            <w:r w:rsidRPr="00DB1C62">
              <w:rPr>
                <w:rFonts w:ascii="Palatino Linotype" w:hAnsi="Palatino Linotype"/>
                <w:b/>
                <w:sz w:val="20"/>
                <w:szCs w:val="20"/>
              </w:rPr>
              <w:t xml:space="preserve">№ </w:t>
            </w:r>
            <w:r w:rsidRPr="00DB1C62">
              <w:rPr>
                <w:rFonts w:ascii="Palatino Linotype" w:hAnsi="Palatino Linotype"/>
                <w:b/>
                <w:sz w:val="20"/>
                <w:szCs w:val="20"/>
                <w:lang w:val="en-US"/>
              </w:rPr>
              <w:t>of line</w:t>
            </w:r>
          </w:p>
        </w:tc>
        <w:tc>
          <w:tcPr>
            <w:tcW w:w="2185" w:type="dxa"/>
            <w:tcBorders>
              <w:top w:val="single" w:sz="4" w:space="0" w:color="auto"/>
              <w:bottom w:val="single" w:sz="4" w:space="0" w:color="auto"/>
            </w:tcBorders>
            <w:vAlign w:val="center"/>
          </w:tcPr>
          <w:p w14:paraId="05E228D9" w14:textId="77777777" w:rsidR="00703DCA" w:rsidRPr="00DB1C62" w:rsidRDefault="00703DCA" w:rsidP="00703DCA">
            <w:pPr>
              <w:jc w:val="center"/>
              <w:rPr>
                <w:rFonts w:ascii="Palatino Linotype" w:hAnsi="Palatino Linotype"/>
                <w:b/>
                <w:sz w:val="20"/>
                <w:szCs w:val="20"/>
                <w:lang w:val="en-US"/>
              </w:rPr>
            </w:pPr>
            <w:r w:rsidRPr="00DB1C62">
              <w:rPr>
                <w:rFonts w:ascii="Palatino Linotype" w:hAnsi="Palatino Linotype"/>
                <w:b/>
                <w:sz w:val="20"/>
                <w:szCs w:val="20"/>
                <w:lang w:val="en-US"/>
              </w:rPr>
              <w:t>A</w:t>
            </w:r>
          </w:p>
        </w:tc>
        <w:tc>
          <w:tcPr>
            <w:tcW w:w="1920" w:type="dxa"/>
            <w:tcBorders>
              <w:top w:val="single" w:sz="4" w:space="0" w:color="auto"/>
              <w:bottom w:val="single" w:sz="4" w:space="0" w:color="auto"/>
            </w:tcBorders>
            <w:vAlign w:val="center"/>
          </w:tcPr>
          <w:p w14:paraId="5045BBBD" w14:textId="77777777" w:rsidR="00703DCA" w:rsidRPr="00DB1C62" w:rsidRDefault="00703DCA" w:rsidP="00703DCA">
            <w:pPr>
              <w:jc w:val="center"/>
              <w:rPr>
                <w:rFonts w:ascii="Palatino Linotype" w:hAnsi="Palatino Linotype"/>
                <w:b/>
                <w:sz w:val="20"/>
                <w:szCs w:val="20"/>
                <w:lang w:val="en-US"/>
              </w:rPr>
            </w:pPr>
            <w:r w:rsidRPr="00DB1C62">
              <w:rPr>
                <w:rFonts w:ascii="Palatino Linotype" w:hAnsi="Palatino Linotype"/>
                <w:b/>
                <w:sz w:val="20"/>
                <w:szCs w:val="20"/>
                <w:lang w:val="en-US"/>
              </w:rPr>
              <w:t>B</w:t>
            </w:r>
          </w:p>
        </w:tc>
        <w:tc>
          <w:tcPr>
            <w:tcW w:w="1920" w:type="dxa"/>
            <w:tcBorders>
              <w:top w:val="single" w:sz="4" w:space="0" w:color="auto"/>
              <w:bottom w:val="single" w:sz="4" w:space="0" w:color="auto"/>
            </w:tcBorders>
            <w:vAlign w:val="center"/>
          </w:tcPr>
          <w:p w14:paraId="1E401043" w14:textId="77777777" w:rsidR="00703DCA" w:rsidRPr="00DB1C62" w:rsidRDefault="00703DCA" w:rsidP="00703DCA">
            <w:pPr>
              <w:jc w:val="center"/>
              <w:rPr>
                <w:rFonts w:ascii="Palatino Linotype" w:hAnsi="Palatino Linotype"/>
                <w:b/>
                <w:sz w:val="20"/>
                <w:szCs w:val="20"/>
                <w:lang w:val="en-US"/>
              </w:rPr>
            </w:pPr>
            <w:r w:rsidRPr="00DB1C62">
              <w:rPr>
                <w:rFonts w:ascii="Palatino Linotype" w:hAnsi="Palatino Linotype"/>
                <w:b/>
                <w:sz w:val="20"/>
                <w:szCs w:val="20"/>
                <w:lang w:val="en-US"/>
              </w:rPr>
              <w:t>C</w:t>
            </w:r>
          </w:p>
        </w:tc>
        <w:tc>
          <w:tcPr>
            <w:tcW w:w="1673" w:type="dxa"/>
            <w:tcBorders>
              <w:top w:val="single" w:sz="4" w:space="0" w:color="auto"/>
              <w:bottom w:val="single" w:sz="4" w:space="0" w:color="auto"/>
            </w:tcBorders>
            <w:vAlign w:val="center"/>
          </w:tcPr>
          <w:p w14:paraId="1ABCA293" w14:textId="77777777" w:rsidR="00703DCA" w:rsidRPr="00DB1C62" w:rsidRDefault="00703DCA" w:rsidP="00703DCA">
            <w:pPr>
              <w:jc w:val="center"/>
              <w:rPr>
                <w:rFonts w:ascii="Palatino Linotype" w:hAnsi="Palatino Linotype"/>
                <w:b/>
                <w:sz w:val="20"/>
                <w:szCs w:val="20"/>
                <w:lang w:val="en-US"/>
              </w:rPr>
            </w:pPr>
            <w:r w:rsidRPr="00DB1C62">
              <w:rPr>
                <w:rFonts w:ascii="Palatino Linotype" w:hAnsi="Palatino Linotype"/>
                <w:b/>
                <w:sz w:val="20"/>
                <w:szCs w:val="20"/>
                <w:lang w:val="en-US"/>
              </w:rPr>
              <w:t>D</w:t>
            </w:r>
          </w:p>
        </w:tc>
      </w:tr>
      <w:tr w:rsidR="00703DCA" w:rsidRPr="00DB1C62" w14:paraId="54A16A40" w14:textId="77777777" w:rsidTr="00703DCA">
        <w:tc>
          <w:tcPr>
            <w:tcW w:w="1873" w:type="dxa"/>
            <w:tcBorders>
              <w:top w:val="single" w:sz="4" w:space="0" w:color="auto"/>
            </w:tcBorders>
            <w:vAlign w:val="center"/>
          </w:tcPr>
          <w:p w14:paraId="3EB2C6B0"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sz w:val="20"/>
                <w:szCs w:val="20"/>
                <w:lang w:val="en-US"/>
              </w:rPr>
              <w:t>1</w:t>
            </w:r>
          </w:p>
        </w:tc>
        <w:tc>
          <w:tcPr>
            <w:tcW w:w="2185" w:type="dxa"/>
            <w:tcBorders>
              <w:top w:val="single" w:sz="4" w:space="0" w:color="auto"/>
            </w:tcBorders>
            <w:vAlign w:val="center"/>
          </w:tcPr>
          <w:p w14:paraId="6B7D10D9"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144</w:t>
            </w:r>
          </w:p>
        </w:tc>
        <w:tc>
          <w:tcPr>
            <w:tcW w:w="1920" w:type="dxa"/>
            <w:tcBorders>
              <w:top w:val="single" w:sz="4" w:space="0" w:color="auto"/>
            </w:tcBorders>
            <w:vAlign w:val="center"/>
          </w:tcPr>
          <w:p w14:paraId="37FC368A"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1.2</w:t>
            </w:r>
          </w:p>
        </w:tc>
        <w:tc>
          <w:tcPr>
            <w:tcW w:w="1920" w:type="dxa"/>
            <w:tcBorders>
              <w:top w:val="single" w:sz="4" w:space="0" w:color="auto"/>
            </w:tcBorders>
            <w:vAlign w:val="center"/>
          </w:tcPr>
          <w:p w14:paraId="61C52093"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w:t>
            </w:r>
          </w:p>
        </w:tc>
        <w:tc>
          <w:tcPr>
            <w:tcW w:w="1673" w:type="dxa"/>
            <w:tcBorders>
              <w:top w:val="single" w:sz="4" w:space="0" w:color="auto"/>
            </w:tcBorders>
            <w:vAlign w:val="center"/>
          </w:tcPr>
          <w:p w14:paraId="627F9C70" w14:textId="77777777" w:rsidR="00703DCA" w:rsidRPr="00DB1C62" w:rsidRDefault="00703DCA" w:rsidP="00703DCA">
            <w:pPr>
              <w:jc w:val="center"/>
              <w:rPr>
                <w:rFonts w:ascii="Palatino Linotype" w:hAnsi="Palatino Linotype" w:cs="Courier New"/>
                <w:sz w:val="20"/>
                <w:szCs w:val="20"/>
                <w:lang w:val="en-US"/>
              </w:rPr>
            </w:pPr>
            <w:r w:rsidRPr="00DB1C62">
              <w:rPr>
                <w:rFonts w:ascii="Palatino Linotype" w:hAnsi="Palatino Linotype" w:cs="Courier New"/>
                <w:sz w:val="20"/>
                <w:szCs w:val="20"/>
                <w:lang w:val="en-US"/>
              </w:rPr>
              <w:t>-</w:t>
            </w:r>
          </w:p>
        </w:tc>
      </w:tr>
      <w:tr w:rsidR="00703DCA" w:rsidRPr="00DB1C62" w14:paraId="200EF083" w14:textId="77777777" w:rsidTr="00703DCA">
        <w:tc>
          <w:tcPr>
            <w:tcW w:w="1873" w:type="dxa"/>
            <w:vAlign w:val="center"/>
          </w:tcPr>
          <w:p w14:paraId="4F75F2DD"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sz w:val="20"/>
                <w:szCs w:val="20"/>
                <w:lang w:val="en-US"/>
              </w:rPr>
              <w:t>2</w:t>
            </w:r>
          </w:p>
        </w:tc>
        <w:tc>
          <w:tcPr>
            <w:tcW w:w="2185" w:type="dxa"/>
            <w:vAlign w:val="center"/>
          </w:tcPr>
          <w:p w14:paraId="7AF2EB69"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-2.356194</w:t>
            </w:r>
          </w:p>
        </w:tc>
        <w:tc>
          <w:tcPr>
            <w:tcW w:w="1920" w:type="dxa"/>
            <w:vAlign w:val="center"/>
          </w:tcPr>
          <w:p w14:paraId="543E2742"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1.756530</w:t>
            </w:r>
          </w:p>
        </w:tc>
        <w:tc>
          <w:tcPr>
            <w:tcW w:w="1920" w:type="dxa"/>
            <w:vAlign w:val="center"/>
          </w:tcPr>
          <w:p w14:paraId="6F750297"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-2.105156</w:t>
            </w:r>
          </w:p>
        </w:tc>
        <w:tc>
          <w:tcPr>
            <w:tcW w:w="1673" w:type="dxa"/>
            <w:vAlign w:val="center"/>
          </w:tcPr>
          <w:p w14:paraId="76F13F1B" w14:textId="77777777" w:rsidR="00703DCA" w:rsidRPr="00DB1C62" w:rsidRDefault="00703DCA" w:rsidP="00703DCA">
            <w:pPr>
              <w:jc w:val="center"/>
              <w:rPr>
                <w:rFonts w:ascii="Palatino Linotype" w:hAnsi="Palatino Linotype" w:cs="Courier New"/>
                <w:sz w:val="20"/>
                <w:szCs w:val="20"/>
                <w:lang w:val="en-US"/>
              </w:rPr>
            </w:pPr>
            <w:r w:rsidRPr="00DB1C62">
              <w:rPr>
                <w:rFonts w:ascii="Palatino Linotype" w:hAnsi="Palatino Linotype" w:cs="Courier New"/>
                <w:sz w:val="20"/>
                <w:szCs w:val="20"/>
                <w:lang w:val="en-US"/>
              </w:rPr>
              <w:t>-</w:t>
            </w:r>
          </w:p>
        </w:tc>
      </w:tr>
      <w:tr w:rsidR="00703DCA" w:rsidRPr="00DB1C62" w14:paraId="6CAD75AE" w14:textId="77777777" w:rsidTr="00703DCA">
        <w:tc>
          <w:tcPr>
            <w:tcW w:w="1873" w:type="dxa"/>
            <w:vAlign w:val="center"/>
          </w:tcPr>
          <w:p w14:paraId="782D953F"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sz w:val="20"/>
                <w:szCs w:val="20"/>
                <w:lang w:val="en-US"/>
              </w:rPr>
              <w:t>3</w:t>
            </w:r>
          </w:p>
        </w:tc>
        <w:tc>
          <w:tcPr>
            <w:tcW w:w="2185" w:type="dxa"/>
            <w:vAlign w:val="center"/>
          </w:tcPr>
          <w:p w14:paraId="07C392EB"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2.380392</w:t>
            </w:r>
          </w:p>
        </w:tc>
        <w:tc>
          <w:tcPr>
            <w:tcW w:w="1920" w:type="dxa"/>
            <w:vAlign w:val="center"/>
          </w:tcPr>
          <w:p w14:paraId="74E7ECC0"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2.500101</w:t>
            </w:r>
          </w:p>
        </w:tc>
        <w:tc>
          <w:tcPr>
            <w:tcW w:w="1920" w:type="dxa"/>
            <w:vAlign w:val="center"/>
          </w:tcPr>
          <w:p w14:paraId="0072887A"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-0.120466</w:t>
            </w:r>
          </w:p>
        </w:tc>
        <w:tc>
          <w:tcPr>
            <w:tcW w:w="1673" w:type="dxa"/>
            <w:vAlign w:val="center"/>
          </w:tcPr>
          <w:p w14:paraId="44EA5436" w14:textId="77777777" w:rsidR="00703DCA" w:rsidRPr="00DB1C62" w:rsidRDefault="00703DCA" w:rsidP="00703DCA">
            <w:pPr>
              <w:jc w:val="center"/>
              <w:rPr>
                <w:rFonts w:ascii="Palatino Linotype" w:hAnsi="Palatino Linotype" w:cs="Courier New"/>
                <w:sz w:val="20"/>
                <w:szCs w:val="20"/>
                <w:lang w:val="en-US"/>
              </w:rPr>
            </w:pPr>
            <w:r w:rsidRPr="00DB1C62">
              <w:rPr>
                <w:rFonts w:ascii="Palatino Linotype" w:hAnsi="Palatino Linotype" w:cs="Courier New"/>
                <w:sz w:val="20"/>
                <w:szCs w:val="20"/>
                <w:lang w:val="en-US"/>
              </w:rPr>
              <w:t>-</w:t>
            </w:r>
          </w:p>
        </w:tc>
      </w:tr>
      <w:tr w:rsidR="00703DCA" w:rsidRPr="00DB1C62" w14:paraId="1A26507E" w14:textId="77777777" w:rsidTr="00703DCA">
        <w:tc>
          <w:tcPr>
            <w:tcW w:w="1873" w:type="dxa"/>
            <w:vAlign w:val="center"/>
          </w:tcPr>
          <w:p w14:paraId="55888640"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sz w:val="20"/>
                <w:szCs w:val="20"/>
                <w:lang w:val="en-US"/>
              </w:rPr>
              <w:t>4</w:t>
            </w:r>
          </w:p>
        </w:tc>
        <w:tc>
          <w:tcPr>
            <w:tcW w:w="2185" w:type="dxa"/>
            <w:vAlign w:val="center"/>
          </w:tcPr>
          <w:p w14:paraId="719330C5"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lig.job111229.bl.pdb</w:t>
            </w:r>
          </w:p>
        </w:tc>
        <w:tc>
          <w:tcPr>
            <w:tcW w:w="1920" w:type="dxa"/>
            <w:vAlign w:val="center"/>
          </w:tcPr>
          <w:p w14:paraId="36C2E882"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3.784</w:t>
            </w:r>
          </w:p>
        </w:tc>
        <w:tc>
          <w:tcPr>
            <w:tcW w:w="1920" w:type="dxa"/>
            <w:vAlign w:val="center"/>
          </w:tcPr>
          <w:p w14:paraId="6E5E8F47"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12.945</w:t>
            </w:r>
          </w:p>
        </w:tc>
        <w:tc>
          <w:tcPr>
            <w:tcW w:w="1673" w:type="dxa"/>
            <w:vAlign w:val="center"/>
          </w:tcPr>
          <w:p w14:paraId="3CAB7EA5" w14:textId="77777777" w:rsidR="00703DCA" w:rsidRPr="00DB1C62" w:rsidRDefault="00703DCA" w:rsidP="00703DCA">
            <w:pPr>
              <w:jc w:val="center"/>
              <w:rPr>
                <w:rFonts w:ascii="Palatino Linotype" w:hAnsi="Palatino Linotype" w:cs="Courier New"/>
                <w:sz w:val="20"/>
                <w:szCs w:val="20"/>
                <w:lang w:val="en-US"/>
              </w:rPr>
            </w:pPr>
            <w:r w:rsidRPr="00DB1C62">
              <w:rPr>
                <w:rFonts w:ascii="Palatino Linotype" w:hAnsi="Palatino Linotype" w:cs="Courier New"/>
                <w:sz w:val="20"/>
                <w:szCs w:val="20"/>
                <w:lang w:val="en-US"/>
              </w:rPr>
              <w:t>-18.192</w:t>
            </w:r>
          </w:p>
        </w:tc>
      </w:tr>
      <w:tr w:rsidR="00703DCA" w:rsidRPr="00DB1C62" w14:paraId="495F39A0" w14:textId="77777777" w:rsidTr="00703DCA">
        <w:tc>
          <w:tcPr>
            <w:tcW w:w="1873" w:type="dxa"/>
            <w:tcBorders>
              <w:bottom w:val="single" w:sz="4" w:space="0" w:color="auto"/>
            </w:tcBorders>
            <w:vAlign w:val="center"/>
          </w:tcPr>
          <w:p w14:paraId="4AEAAF5D"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sz w:val="20"/>
                <w:szCs w:val="20"/>
                <w:lang w:val="en-US"/>
              </w:rPr>
              <w:t>5</w:t>
            </w:r>
          </w:p>
        </w:tc>
        <w:tc>
          <w:tcPr>
            <w:tcW w:w="2185" w:type="dxa"/>
            <w:tcBorders>
              <w:bottom w:val="single" w:sz="4" w:space="0" w:color="auto"/>
            </w:tcBorders>
            <w:vAlign w:val="center"/>
          </w:tcPr>
          <w:p w14:paraId="28566877"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rec.job111229.bl.pdb</w:t>
            </w:r>
          </w:p>
        </w:tc>
        <w:tc>
          <w:tcPr>
            <w:tcW w:w="1920" w:type="dxa"/>
            <w:tcBorders>
              <w:bottom w:val="single" w:sz="4" w:space="0" w:color="auto"/>
            </w:tcBorders>
            <w:vAlign w:val="center"/>
          </w:tcPr>
          <w:p w14:paraId="15F2635E"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5.682</w:t>
            </w:r>
          </w:p>
        </w:tc>
        <w:tc>
          <w:tcPr>
            <w:tcW w:w="1920" w:type="dxa"/>
            <w:tcBorders>
              <w:bottom w:val="single" w:sz="4" w:space="0" w:color="auto"/>
            </w:tcBorders>
            <w:vAlign w:val="center"/>
          </w:tcPr>
          <w:p w14:paraId="0EDAC13A" w14:textId="77777777" w:rsidR="00703DCA" w:rsidRPr="00DB1C62" w:rsidRDefault="00703DCA" w:rsidP="00703DCA">
            <w:pPr>
              <w:jc w:val="center"/>
              <w:rPr>
                <w:rFonts w:ascii="Palatino Linotype" w:hAnsi="Palatino Linotype"/>
                <w:sz w:val="20"/>
                <w:szCs w:val="20"/>
                <w:lang w:val="en-US"/>
              </w:rPr>
            </w:pPr>
            <w:r w:rsidRPr="00DB1C62">
              <w:rPr>
                <w:rFonts w:ascii="Palatino Linotype" w:hAnsi="Palatino Linotype" w:cs="Courier New"/>
                <w:sz w:val="20"/>
                <w:szCs w:val="20"/>
                <w:lang w:val="en-US"/>
              </w:rPr>
              <w:t>18.085</w:t>
            </w:r>
          </w:p>
        </w:tc>
        <w:tc>
          <w:tcPr>
            <w:tcW w:w="1673" w:type="dxa"/>
            <w:tcBorders>
              <w:bottom w:val="single" w:sz="4" w:space="0" w:color="auto"/>
            </w:tcBorders>
            <w:vAlign w:val="center"/>
          </w:tcPr>
          <w:p w14:paraId="79338AC2" w14:textId="77777777" w:rsidR="00703DCA" w:rsidRPr="00DB1C62" w:rsidRDefault="00703DCA" w:rsidP="00703DCA">
            <w:pPr>
              <w:jc w:val="center"/>
              <w:rPr>
                <w:rFonts w:ascii="Palatino Linotype" w:hAnsi="Palatino Linotype" w:cs="Courier New"/>
                <w:sz w:val="20"/>
                <w:szCs w:val="20"/>
                <w:lang w:val="en-US"/>
              </w:rPr>
            </w:pPr>
            <w:r w:rsidRPr="00DB1C62">
              <w:rPr>
                <w:rFonts w:ascii="Palatino Linotype" w:hAnsi="Palatino Linotype" w:cs="Courier New"/>
                <w:sz w:val="20"/>
                <w:szCs w:val="20"/>
                <w:lang w:val="en-US"/>
              </w:rPr>
              <w:t>28.855</w:t>
            </w:r>
          </w:p>
        </w:tc>
      </w:tr>
    </w:tbl>
    <w:p w14:paraId="6532806C" w14:textId="77777777" w:rsidR="00703DCA" w:rsidRPr="00DB1C62" w:rsidRDefault="00703DCA" w:rsidP="00703DCA">
      <w:pPr>
        <w:jc w:val="center"/>
        <w:rPr>
          <w:rFonts w:ascii="Palatino Linotype" w:hAnsi="Palatino Linotype"/>
          <w:sz w:val="18"/>
          <w:szCs w:val="18"/>
          <w:lang w:val="en-US"/>
        </w:rPr>
      </w:pPr>
      <w:r w:rsidRPr="00DB1C62">
        <w:rPr>
          <w:rFonts w:ascii="Palatino Linotype" w:hAnsi="Palatino Linotype"/>
          <w:sz w:val="18"/>
          <w:szCs w:val="18"/>
          <w:lang w:val="en-US"/>
        </w:rPr>
        <w:t xml:space="preserve">The columns of line 1: the size N of the </w:t>
      </w:r>
      <w:proofErr w:type="spellStart"/>
      <w:r w:rsidRPr="00DB1C62">
        <w:rPr>
          <w:rFonts w:ascii="Palatino Linotype" w:hAnsi="Palatino Linotype"/>
          <w:sz w:val="18"/>
          <w:szCs w:val="18"/>
          <w:lang w:val="en-US"/>
        </w:rPr>
        <w:t>NxNxN</w:t>
      </w:r>
      <w:proofErr w:type="spellEnd"/>
      <w:r w:rsidRPr="00DB1C62">
        <w:rPr>
          <w:rFonts w:ascii="Palatino Linotype" w:hAnsi="Palatino Linotype"/>
          <w:sz w:val="18"/>
          <w:szCs w:val="18"/>
          <w:lang w:val="en-US"/>
        </w:rPr>
        <w:t xml:space="preserve"> grid used in the docking (A), the spacing between grid cells (always 1.2 A) (B), and whether the receptor or ligand was fixed during docking (</w:t>
      </w:r>
      <w:proofErr w:type="gramStart"/>
      <w:r w:rsidRPr="00DB1C62">
        <w:rPr>
          <w:rFonts w:ascii="Palatino Linotype" w:hAnsi="Palatino Linotype"/>
          <w:sz w:val="18"/>
          <w:szCs w:val="18"/>
          <w:lang w:val="en-US"/>
        </w:rPr>
        <w:t>0</w:t>
      </w:r>
      <w:proofErr w:type="gramEnd"/>
      <w:r w:rsidRPr="00DB1C62">
        <w:rPr>
          <w:rFonts w:ascii="Palatino Linotype" w:hAnsi="Palatino Linotype"/>
          <w:sz w:val="18"/>
          <w:szCs w:val="18"/>
          <w:lang w:val="en-US"/>
        </w:rPr>
        <w:t xml:space="preserve"> = receptor, 1 = ligand) (C). The columns of line 2: the initial rotation of the receptor in Euler angles. The columns of line 3: the initial rotation of the ligand in Euler angles. The columns of line 4: the receptor file (A), followed by its initial translation (x (B), y (C), z (D)) to center. The columns of line 5: the ligand file (A), followed by its initial translation (x (B), y (C), z (D)) to center.</w:t>
      </w:r>
    </w:p>
    <w:p w14:paraId="59EF25D7" w14:textId="77777777" w:rsidR="00703DCA" w:rsidRPr="00DB1C62" w:rsidRDefault="00703DCA" w:rsidP="00DD6BB5">
      <w:pPr>
        <w:rPr>
          <w:b/>
          <w:lang w:val="en-US"/>
        </w:rPr>
      </w:pPr>
    </w:p>
    <w:p w14:paraId="0BBE3E31" w14:textId="0D71E307" w:rsidR="00D00EB5" w:rsidRPr="00DB1C62" w:rsidRDefault="00703DCA" w:rsidP="00DD6BB5">
      <w:pPr>
        <w:rPr>
          <w:rFonts w:ascii="Palatino Linotype" w:hAnsi="Palatino Linotype"/>
          <w:sz w:val="18"/>
          <w:szCs w:val="18"/>
          <w:lang w:val="en-US"/>
        </w:rPr>
      </w:pPr>
      <w:r w:rsidRPr="00DB1C62">
        <w:rPr>
          <w:rFonts w:ascii="Palatino Linotype" w:hAnsi="Palatino Linotype"/>
          <w:b/>
          <w:sz w:val="18"/>
          <w:szCs w:val="18"/>
          <w:lang w:val="en-US"/>
        </w:rPr>
        <w:t>Table S2.</w:t>
      </w:r>
      <w:r w:rsidRPr="00DB1C62">
        <w:rPr>
          <w:rFonts w:ascii="Palatino Linotype" w:hAnsi="Palatino Linotype"/>
          <w:sz w:val="18"/>
          <w:szCs w:val="18"/>
          <w:lang w:val="en-US"/>
        </w:rPr>
        <w:t xml:space="preserve"> A fragment of the ZDOCK output file for top 10 </w:t>
      </w:r>
      <w:r w:rsidRPr="00DB1C62">
        <w:rPr>
          <w:rFonts w:ascii="Palatino Linotype" w:hAnsi="Palatino Linotype" w:cs="Times New Roman"/>
          <w:sz w:val="18"/>
          <w:szCs w:val="18"/>
          <w:lang w:val="en-US"/>
        </w:rPr>
        <w:t>FECH/ADR complexes (Prediction lines)</w:t>
      </w:r>
      <w:r w:rsidRPr="00DB1C62">
        <w:rPr>
          <w:rFonts w:ascii="Palatino Linotype" w:hAnsi="Palatino Linotype"/>
          <w:sz w:val="18"/>
          <w:szCs w:val="18"/>
          <w:lang w:val="en-US"/>
        </w:rPr>
        <w:t>.</w:t>
      </w:r>
    </w:p>
    <w:tbl>
      <w:tblPr>
        <w:tblW w:w="0" w:type="auto"/>
        <w:jc w:val="center"/>
        <w:tblLook w:val="04A0" w:firstRow="1" w:lastRow="0" w:firstColumn="1" w:lastColumn="0" w:noHBand="0" w:noVBand="1"/>
      </w:tblPr>
      <w:tblGrid>
        <w:gridCol w:w="1273"/>
        <w:gridCol w:w="1262"/>
        <w:gridCol w:w="1130"/>
        <w:gridCol w:w="1263"/>
        <w:gridCol w:w="1101"/>
        <w:gridCol w:w="1094"/>
        <w:gridCol w:w="1101"/>
        <w:gridCol w:w="1131"/>
      </w:tblGrid>
      <w:tr w:rsidR="00D00EB5" w:rsidRPr="00DB1C62" w14:paraId="3860E3DC" w14:textId="03449D91" w:rsidTr="00703DCA">
        <w:trPr>
          <w:jc w:val="center"/>
        </w:trPr>
        <w:tc>
          <w:tcPr>
            <w:tcW w:w="1294" w:type="dxa"/>
            <w:tcBorders>
              <w:top w:val="single" w:sz="4" w:space="0" w:color="auto"/>
              <w:bottom w:val="single" w:sz="4" w:space="0" w:color="auto"/>
            </w:tcBorders>
            <w:shd w:val="clear" w:color="auto" w:fill="auto"/>
            <w:vAlign w:val="center"/>
          </w:tcPr>
          <w:p w14:paraId="57D8B177" w14:textId="3F27C91A" w:rsidR="00D00EB5" w:rsidRPr="00DB1C62" w:rsidRDefault="00C62BDC" w:rsidP="00C62BDC">
            <w:pPr>
              <w:pStyle w:val="MDPI42tablebody"/>
              <w:spacing w:line="240" w:lineRule="auto"/>
              <w:rPr>
                <w:b/>
                <w:snapToGrid/>
              </w:rPr>
            </w:pPr>
            <w:r w:rsidRPr="00DB1C62">
              <w:rPr>
                <w:b/>
                <w:bCs/>
                <w:lang w:val="ru-RU"/>
              </w:rPr>
              <w:t>№</w:t>
            </w:r>
            <w:r w:rsidRPr="00DB1C62">
              <w:rPr>
                <w:b/>
                <w:bCs/>
              </w:rPr>
              <w:t xml:space="preserve"> of complex</w:t>
            </w:r>
          </w:p>
        </w:tc>
        <w:tc>
          <w:tcPr>
            <w:tcW w:w="1283" w:type="dxa"/>
            <w:tcBorders>
              <w:top w:val="single" w:sz="4" w:space="0" w:color="auto"/>
              <w:bottom w:val="single" w:sz="4" w:space="0" w:color="auto"/>
            </w:tcBorders>
            <w:shd w:val="clear" w:color="auto" w:fill="auto"/>
            <w:vAlign w:val="center"/>
          </w:tcPr>
          <w:p w14:paraId="2F1D0D4E" w14:textId="7AB7AD60" w:rsidR="00D00EB5" w:rsidRPr="00DB1C62" w:rsidRDefault="00C62BDC" w:rsidP="00C62BDC">
            <w:pPr>
              <w:pStyle w:val="MDPI42tablebody"/>
              <w:spacing w:line="240" w:lineRule="auto"/>
              <w:rPr>
                <w:b/>
                <w:snapToGrid/>
              </w:rPr>
            </w:pPr>
            <w:r w:rsidRPr="00DB1C62">
              <w:rPr>
                <w:b/>
                <w:snapToGrid/>
              </w:rPr>
              <w:t>1</w:t>
            </w:r>
          </w:p>
        </w:tc>
        <w:tc>
          <w:tcPr>
            <w:tcW w:w="1142" w:type="dxa"/>
            <w:tcBorders>
              <w:top w:val="single" w:sz="4" w:space="0" w:color="auto"/>
              <w:bottom w:val="single" w:sz="4" w:space="0" w:color="auto"/>
            </w:tcBorders>
            <w:vAlign w:val="center"/>
          </w:tcPr>
          <w:p w14:paraId="68E7D734" w14:textId="0E81CC57" w:rsidR="00D00EB5" w:rsidRPr="00DB1C62" w:rsidRDefault="00C62BDC" w:rsidP="00C62BDC">
            <w:pPr>
              <w:pStyle w:val="MDPI42tablebody"/>
              <w:spacing w:line="240" w:lineRule="auto"/>
              <w:rPr>
                <w:b/>
                <w:snapToGrid/>
              </w:rPr>
            </w:pPr>
            <w:r w:rsidRPr="00DB1C62">
              <w:rPr>
                <w:b/>
                <w:snapToGrid/>
              </w:rPr>
              <w:t>2</w:t>
            </w:r>
          </w:p>
        </w:tc>
        <w:tc>
          <w:tcPr>
            <w:tcW w:w="1284" w:type="dxa"/>
            <w:tcBorders>
              <w:top w:val="single" w:sz="4" w:space="0" w:color="auto"/>
              <w:bottom w:val="single" w:sz="4" w:space="0" w:color="auto"/>
            </w:tcBorders>
            <w:shd w:val="clear" w:color="auto" w:fill="auto"/>
            <w:vAlign w:val="center"/>
          </w:tcPr>
          <w:p w14:paraId="08943278" w14:textId="31980551" w:rsidR="00D00EB5" w:rsidRPr="00DB1C62" w:rsidRDefault="00C62BDC" w:rsidP="00C62BDC">
            <w:pPr>
              <w:pStyle w:val="MDPI42tablebody"/>
              <w:spacing w:line="240" w:lineRule="auto"/>
              <w:rPr>
                <w:b/>
                <w:snapToGrid/>
              </w:rPr>
            </w:pPr>
            <w:r w:rsidRPr="00DB1C62">
              <w:rPr>
                <w:b/>
                <w:snapToGrid/>
              </w:rPr>
              <w:t>3</w:t>
            </w:r>
          </w:p>
        </w:tc>
        <w:tc>
          <w:tcPr>
            <w:tcW w:w="1142" w:type="dxa"/>
            <w:tcBorders>
              <w:top w:val="single" w:sz="4" w:space="0" w:color="auto"/>
              <w:bottom w:val="single" w:sz="4" w:space="0" w:color="auto"/>
            </w:tcBorders>
            <w:vAlign w:val="center"/>
          </w:tcPr>
          <w:p w14:paraId="7A5D7C3E" w14:textId="10D9CBF6" w:rsidR="00D00EB5" w:rsidRPr="00DB1C62" w:rsidRDefault="00C62BDC" w:rsidP="00C62BDC">
            <w:pPr>
              <w:pStyle w:val="MDPI42tablebody"/>
              <w:spacing w:line="240" w:lineRule="auto"/>
              <w:rPr>
                <w:b/>
                <w:snapToGrid/>
              </w:rPr>
            </w:pPr>
            <w:r w:rsidRPr="00DB1C62">
              <w:rPr>
                <w:b/>
                <w:snapToGrid/>
              </w:rPr>
              <w:t>4</w:t>
            </w:r>
          </w:p>
        </w:tc>
        <w:tc>
          <w:tcPr>
            <w:tcW w:w="1142" w:type="dxa"/>
            <w:tcBorders>
              <w:top w:val="single" w:sz="4" w:space="0" w:color="auto"/>
              <w:bottom w:val="single" w:sz="4" w:space="0" w:color="auto"/>
            </w:tcBorders>
            <w:vAlign w:val="center"/>
          </w:tcPr>
          <w:p w14:paraId="6F745C0C" w14:textId="56507665" w:rsidR="00D00EB5" w:rsidRPr="00DB1C62" w:rsidRDefault="00C62BDC" w:rsidP="00C62BDC">
            <w:pPr>
              <w:pStyle w:val="MDPI42tablebody"/>
              <w:spacing w:line="240" w:lineRule="auto"/>
              <w:rPr>
                <w:b/>
                <w:snapToGrid/>
              </w:rPr>
            </w:pPr>
            <w:r w:rsidRPr="00DB1C62">
              <w:rPr>
                <w:b/>
                <w:snapToGrid/>
              </w:rPr>
              <w:t>5</w:t>
            </w:r>
          </w:p>
        </w:tc>
        <w:tc>
          <w:tcPr>
            <w:tcW w:w="1142" w:type="dxa"/>
            <w:tcBorders>
              <w:top w:val="single" w:sz="4" w:space="0" w:color="auto"/>
              <w:bottom w:val="single" w:sz="4" w:space="0" w:color="auto"/>
            </w:tcBorders>
            <w:vAlign w:val="center"/>
          </w:tcPr>
          <w:p w14:paraId="5DFC1D23" w14:textId="50F5F0FA" w:rsidR="00D00EB5" w:rsidRPr="00DB1C62" w:rsidRDefault="00C62BDC" w:rsidP="00C62BDC">
            <w:pPr>
              <w:pStyle w:val="MDPI42tablebody"/>
              <w:spacing w:line="240" w:lineRule="auto"/>
              <w:rPr>
                <w:b/>
                <w:snapToGrid/>
              </w:rPr>
            </w:pPr>
            <w:r w:rsidRPr="00DB1C62">
              <w:rPr>
                <w:b/>
                <w:snapToGrid/>
              </w:rPr>
              <w:t>6</w:t>
            </w:r>
          </w:p>
        </w:tc>
        <w:tc>
          <w:tcPr>
            <w:tcW w:w="1142" w:type="dxa"/>
            <w:tcBorders>
              <w:top w:val="single" w:sz="4" w:space="0" w:color="auto"/>
              <w:bottom w:val="single" w:sz="4" w:space="0" w:color="auto"/>
            </w:tcBorders>
            <w:vAlign w:val="center"/>
          </w:tcPr>
          <w:p w14:paraId="2BF6AD65" w14:textId="65778F85" w:rsidR="00D00EB5" w:rsidRPr="00DB1C62" w:rsidRDefault="00C62BDC" w:rsidP="00C62BDC">
            <w:pPr>
              <w:pStyle w:val="MDPI42tablebody"/>
              <w:spacing w:line="240" w:lineRule="auto"/>
              <w:rPr>
                <w:b/>
                <w:snapToGrid/>
              </w:rPr>
            </w:pPr>
            <w:r w:rsidRPr="00DB1C62">
              <w:rPr>
                <w:b/>
                <w:snapToGrid/>
              </w:rPr>
              <w:t>ZDOCK score</w:t>
            </w:r>
          </w:p>
        </w:tc>
      </w:tr>
      <w:tr w:rsidR="00C62BDC" w:rsidRPr="00DB1C62" w14:paraId="3477C97A" w14:textId="3166C1D3" w:rsidTr="00703DCA">
        <w:trPr>
          <w:jc w:val="center"/>
        </w:trPr>
        <w:tc>
          <w:tcPr>
            <w:tcW w:w="1294" w:type="dxa"/>
            <w:tcBorders>
              <w:top w:val="single" w:sz="4" w:space="0" w:color="auto"/>
            </w:tcBorders>
            <w:shd w:val="clear" w:color="auto" w:fill="auto"/>
            <w:vAlign w:val="center"/>
          </w:tcPr>
          <w:p w14:paraId="78124696" w14:textId="050249C5" w:rsidR="00C62BDC" w:rsidRPr="00DB1C62" w:rsidRDefault="00C62BDC" w:rsidP="00C62BDC">
            <w:pPr>
              <w:pStyle w:val="MDPI42tablebody"/>
              <w:spacing w:line="240" w:lineRule="auto"/>
            </w:pPr>
            <w:r w:rsidRPr="00DB1C62">
              <w:t>I</w:t>
            </w:r>
          </w:p>
        </w:tc>
        <w:tc>
          <w:tcPr>
            <w:tcW w:w="1283" w:type="dxa"/>
            <w:tcBorders>
              <w:top w:val="single" w:sz="4" w:space="0" w:color="auto"/>
            </w:tcBorders>
            <w:shd w:val="clear" w:color="auto" w:fill="auto"/>
            <w:vAlign w:val="center"/>
          </w:tcPr>
          <w:p w14:paraId="702AD642" w14:textId="530EB28E" w:rsidR="00C62BDC" w:rsidRPr="00DB1C62" w:rsidRDefault="00C62BDC" w:rsidP="00C62BDC">
            <w:pPr>
              <w:pStyle w:val="MDPI42tablebody"/>
              <w:spacing w:line="240" w:lineRule="auto"/>
            </w:pPr>
            <w:r w:rsidRPr="00DB1C62">
              <w:rPr>
                <w:rFonts w:cs="Courier New"/>
              </w:rPr>
              <w:t>-2.617994</w:t>
            </w:r>
          </w:p>
        </w:tc>
        <w:tc>
          <w:tcPr>
            <w:tcW w:w="1142" w:type="dxa"/>
            <w:tcBorders>
              <w:top w:val="single" w:sz="4" w:space="0" w:color="auto"/>
            </w:tcBorders>
            <w:vAlign w:val="center"/>
          </w:tcPr>
          <w:p w14:paraId="7646F220" w14:textId="75E4D277" w:rsidR="00C62BDC" w:rsidRPr="00DB1C62" w:rsidRDefault="00C62BDC" w:rsidP="00C62BDC">
            <w:pPr>
              <w:pStyle w:val="MDPI42tablebody"/>
              <w:spacing w:line="240" w:lineRule="auto"/>
            </w:pPr>
            <w:r w:rsidRPr="00DB1C62">
              <w:rPr>
                <w:rFonts w:cs="Courier New"/>
              </w:rPr>
              <w:t>2.404280</w:t>
            </w:r>
          </w:p>
        </w:tc>
        <w:tc>
          <w:tcPr>
            <w:tcW w:w="1284" w:type="dxa"/>
            <w:tcBorders>
              <w:top w:val="single" w:sz="4" w:space="0" w:color="auto"/>
            </w:tcBorders>
            <w:shd w:val="clear" w:color="auto" w:fill="auto"/>
            <w:vAlign w:val="center"/>
          </w:tcPr>
          <w:p w14:paraId="366AA63A" w14:textId="35D5A02E" w:rsidR="00C62BDC" w:rsidRPr="00DB1C62" w:rsidRDefault="00C62BDC" w:rsidP="00C62BDC">
            <w:pPr>
              <w:pStyle w:val="MDPI42tablebody"/>
              <w:spacing w:line="240" w:lineRule="auto"/>
            </w:pPr>
            <w:r w:rsidRPr="00DB1C62">
              <w:rPr>
                <w:rFonts w:cs="Courier New"/>
              </w:rPr>
              <w:t>-0.174044</w:t>
            </w:r>
          </w:p>
        </w:tc>
        <w:tc>
          <w:tcPr>
            <w:tcW w:w="1142" w:type="dxa"/>
            <w:tcBorders>
              <w:top w:val="single" w:sz="4" w:space="0" w:color="auto"/>
            </w:tcBorders>
            <w:vAlign w:val="center"/>
          </w:tcPr>
          <w:p w14:paraId="4E269617" w14:textId="5F6ECFCA" w:rsidR="00C62BDC" w:rsidRPr="00DB1C62" w:rsidRDefault="00C62BDC" w:rsidP="00C62BDC">
            <w:pPr>
              <w:pStyle w:val="MDPI42tablebody"/>
              <w:spacing w:line="240" w:lineRule="auto"/>
            </w:pPr>
            <w:r w:rsidRPr="00DB1C62">
              <w:rPr>
                <w:rFonts w:cs="Courier New"/>
              </w:rPr>
              <w:t>11</w:t>
            </w:r>
          </w:p>
        </w:tc>
        <w:tc>
          <w:tcPr>
            <w:tcW w:w="1142" w:type="dxa"/>
            <w:tcBorders>
              <w:top w:val="single" w:sz="4" w:space="0" w:color="auto"/>
            </w:tcBorders>
            <w:vAlign w:val="center"/>
          </w:tcPr>
          <w:p w14:paraId="3958D369" w14:textId="3926525F" w:rsidR="00C62BDC" w:rsidRPr="00DB1C62" w:rsidRDefault="00C62BDC" w:rsidP="00C62BDC">
            <w:pPr>
              <w:pStyle w:val="MDPI42tablebody"/>
              <w:spacing w:line="240" w:lineRule="auto"/>
            </w:pPr>
            <w:r w:rsidRPr="00DB1C62">
              <w:rPr>
                <w:rFonts w:cs="Courier New"/>
              </w:rPr>
              <w:t>38</w:t>
            </w:r>
          </w:p>
        </w:tc>
        <w:tc>
          <w:tcPr>
            <w:tcW w:w="1142" w:type="dxa"/>
            <w:tcBorders>
              <w:top w:val="single" w:sz="4" w:space="0" w:color="auto"/>
            </w:tcBorders>
            <w:vAlign w:val="center"/>
          </w:tcPr>
          <w:p w14:paraId="1FB341EE" w14:textId="0E32E620" w:rsidR="00C62BDC" w:rsidRPr="00DB1C62" w:rsidRDefault="00C62BDC" w:rsidP="00C62BDC">
            <w:pPr>
              <w:pStyle w:val="MDPI42tablebody"/>
              <w:spacing w:line="240" w:lineRule="auto"/>
            </w:pPr>
            <w:r w:rsidRPr="00DB1C62">
              <w:rPr>
                <w:rFonts w:cs="Courier New"/>
              </w:rPr>
              <w:t>9</w:t>
            </w:r>
          </w:p>
        </w:tc>
        <w:tc>
          <w:tcPr>
            <w:tcW w:w="1142" w:type="dxa"/>
            <w:tcBorders>
              <w:top w:val="single" w:sz="4" w:space="0" w:color="auto"/>
            </w:tcBorders>
            <w:vAlign w:val="center"/>
          </w:tcPr>
          <w:p w14:paraId="3AF518AF" w14:textId="51B30469" w:rsidR="00C62BDC" w:rsidRPr="00DB1C62" w:rsidRDefault="00C62BDC" w:rsidP="00C62BDC">
            <w:pPr>
              <w:pStyle w:val="MDPI42tablebody"/>
              <w:spacing w:line="240" w:lineRule="auto"/>
            </w:pPr>
            <w:r w:rsidRPr="00DB1C62">
              <w:rPr>
                <w:rFonts w:cs="Courier New"/>
              </w:rPr>
              <w:t>1151.120</w:t>
            </w:r>
          </w:p>
        </w:tc>
      </w:tr>
      <w:tr w:rsidR="00C62BDC" w:rsidRPr="00DB1C62" w14:paraId="42A7B5C7" w14:textId="67C0C784" w:rsidTr="00703DCA">
        <w:trPr>
          <w:jc w:val="center"/>
        </w:trPr>
        <w:tc>
          <w:tcPr>
            <w:tcW w:w="1294" w:type="dxa"/>
            <w:shd w:val="clear" w:color="auto" w:fill="auto"/>
            <w:vAlign w:val="center"/>
          </w:tcPr>
          <w:p w14:paraId="72790EF4" w14:textId="54E827F9" w:rsidR="00C62BDC" w:rsidRPr="00DB1C62" w:rsidRDefault="00C62BDC" w:rsidP="00C62BDC">
            <w:pPr>
              <w:pStyle w:val="MDPI42tablebody"/>
              <w:spacing w:line="240" w:lineRule="auto"/>
            </w:pPr>
            <w:r w:rsidRPr="00DB1C62">
              <w:t>II</w:t>
            </w:r>
          </w:p>
        </w:tc>
        <w:tc>
          <w:tcPr>
            <w:tcW w:w="1283" w:type="dxa"/>
            <w:shd w:val="clear" w:color="auto" w:fill="auto"/>
            <w:vAlign w:val="center"/>
          </w:tcPr>
          <w:p w14:paraId="293FAB57" w14:textId="7C940CF8" w:rsidR="00C62BDC" w:rsidRPr="00DB1C62" w:rsidRDefault="00C62BDC" w:rsidP="00C62BDC">
            <w:pPr>
              <w:pStyle w:val="MDPI42tablebody"/>
              <w:spacing w:line="240" w:lineRule="auto"/>
            </w:pPr>
            <w:r w:rsidRPr="00DB1C62">
              <w:rPr>
                <w:rFonts w:cs="Courier New"/>
              </w:rPr>
              <w:t>0.523599</w:t>
            </w:r>
          </w:p>
        </w:tc>
        <w:tc>
          <w:tcPr>
            <w:tcW w:w="1142" w:type="dxa"/>
            <w:vAlign w:val="center"/>
          </w:tcPr>
          <w:p w14:paraId="5D7D21DE" w14:textId="56C27596" w:rsidR="00C62BDC" w:rsidRPr="00DB1C62" w:rsidRDefault="00C62BDC" w:rsidP="00C62BDC">
            <w:pPr>
              <w:pStyle w:val="MDPI42tablebody"/>
              <w:spacing w:line="240" w:lineRule="auto"/>
            </w:pPr>
            <w:r w:rsidRPr="00DB1C62">
              <w:rPr>
                <w:rFonts w:cs="Courier New"/>
              </w:rPr>
              <w:t>1.756530</w:t>
            </w:r>
          </w:p>
        </w:tc>
        <w:tc>
          <w:tcPr>
            <w:tcW w:w="1284" w:type="dxa"/>
            <w:shd w:val="clear" w:color="auto" w:fill="auto"/>
            <w:vAlign w:val="center"/>
          </w:tcPr>
          <w:p w14:paraId="0A9CF676" w14:textId="3113DCEE" w:rsidR="00C62BDC" w:rsidRPr="00DB1C62" w:rsidRDefault="00C62BDC" w:rsidP="00C62BDC">
            <w:pPr>
              <w:pStyle w:val="MDPI42tablebody"/>
              <w:spacing w:line="240" w:lineRule="auto"/>
            </w:pPr>
            <w:r w:rsidRPr="00DB1C62">
              <w:rPr>
                <w:rFonts w:cs="Courier New"/>
              </w:rPr>
              <w:t>-2.105156</w:t>
            </w:r>
          </w:p>
        </w:tc>
        <w:tc>
          <w:tcPr>
            <w:tcW w:w="1142" w:type="dxa"/>
            <w:vAlign w:val="center"/>
          </w:tcPr>
          <w:p w14:paraId="69B2F9E7" w14:textId="620F5E04" w:rsidR="00C62BDC" w:rsidRPr="00DB1C62" w:rsidRDefault="00C62BDC" w:rsidP="00C62BDC">
            <w:pPr>
              <w:pStyle w:val="MDPI42tablebody"/>
              <w:spacing w:line="240" w:lineRule="auto"/>
            </w:pPr>
            <w:r w:rsidRPr="00DB1C62">
              <w:rPr>
                <w:rFonts w:cs="Courier New"/>
              </w:rPr>
              <w:t>31</w:t>
            </w:r>
          </w:p>
        </w:tc>
        <w:tc>
          <w:tcPr>
            <w:tcW w:w="1142" w:type="dxa"/>
            <w:vAlign w:val="center"/>
          </w:tcPr>
          <w:p w14:paraId="122A02CA" w14:textId="0296AB34" w:rsidR="00C62BDC" w:rsidRPr="00DB1C62" w:rsidRDefault="00C62BDC" w:rsidP="00C62BDC">
            <w:pPr>
              <w:pStyle w:val="MDPI42tablebody"/>
              <w:spacing w:line="240" w:lineRule="auto"/>
            </w:pPr>
            <w:r w:rsidRPr="00DB1C62">
              <w:rPr>
                <w:rFonts w:cs="Courier New"/>
              </w:rPr>
              <w:t>22</w:t>
            </w:r>
          </w:p>
        </w:tc>
        <w:tc>
          <w:tcPr>
            <w:tcW w:w="1142" w:type="dxa"/>
            <w:vAlign w:val="center"/>
          </w:tcPr>
          <w:p w14:paraId="70B9BA20" w14:textId="6932A502" w:rsidR="00C62BDC" w:rsidRPr="00DB1C62" w:rsidRDefault="00C62BDC" w:rsidP="00C62BDC">
            <w:pPr>
              <w:pStyle w:val="MDPI42tablebody"/>
              <w:spacing w:line="240" w:lineRule="auto"/>
            </w:pPr>
            <w:r w:rsidRPr="00DB1C62">
              <w:rPr>
                <w:rFonts w:cs="Courier New"/>
              </w:rPr>
              <w:t>142</w:t>
            </w:r>
          </w:p>
        </w:tc>
        <w:tc>
          <w:tcPr>
            <w:tcW w:w="1142" w:type="dxa"/>
            <w:vAlign w:val="center"/>
          </w:tcPr>
          <w:p w14:paraId="2026470D" w14:textId="56F123A1" w:rsidR="00C62BDC" w:rsidRPr="00DB1C62" w:rsidRDefault="00C62BDC" w:rsidP="00C62BDC">
            <w:pPr>
              <w:pStyle w:val="MDPI42tablebody"/>
              <w:spacing w:line="240" w:lineRule="auto"/>
            </w:pPr>
            <w:r w:rsidRPr="00DB1C62">
              <w:rPr>
                <w:rFonts w:cs="Courier New"/>
              </w:rPr>
              <w:t>1053.086</w:t>
            </w:r>
          </w:p>
        </w:tc>
      </w:tr>
      <w:tr w:rsidR="00C62BDC" w:rsidRPr="00DB1C62" w14:paraId="01C44F37" w14:textId="77777777" w:rsidTr="00703DCA">
        <w:trPr>
          <w:jc w:val="center"/>
        </w:trPr>
        <w:tc>
          <w:tcPr>
            <w:tcW w:w="1294" w:type="dxa"/>
            <w:shd w:val="clear" w:color="auto" w:fill="auto"/>
            <w:vAlign w:val="center"/>
          </w:tcPr>
          <w:p w14:paraId="50AC4A49" w14:textId="6952590A" w:rsidR="00C62BDC" w:rsidRPr="00DB1C62" w:rsidRDefault="00C62BDC" w:rsidP="00C62BDC">
            <w:pPr>
              <w:pStyle w:val="MDPI42tablebody"/>
              <w:spacing w:line="240" w:lineRule="auto"/>
            </w:pPr>
            <w:r w:rsidRPr="00DB1C62">
              <w:t>III</w:t>
            </w:r>
          </w:p>
        </w:tc>
        <w:tc>
          <w:tcPr>
            <w:tcW w:w="1283" w:type="dxa"/>
            <w:shd w:val="clear" w:color="auto" w:fill="auto"/>
            <w:vAlign w:val="center"/>
          </w:tcPr>
          <w:p w14:paraId="7CAABFFD" w14:textId="7BF0C987" w:rsidR="00C62BDC" w:rsidRPr="00DB1C62" w:rsidRDefault="00C62BDC" w:rsidP="00C62BDC">
            <w:pPr>
              <w:pStyle w:val="MDPI42tablebody"/>
              <w:spacing w:line="240" w:lineRule="auto"/>
            </w:pPr>
            <w:r w:rsidRPr="00DB1C62">
              <w:rPr>
                <w:rFonts w:cs="Courier New"/>
              </w:rPr>
              <w:t>1.047198</w:t>
            </w:r>
          </w:p>
        </w:tc>
        <w:tc>
          <w:tcPr>
            <w:tcW w:w="1142" w:type="dxa"/>
            <w:vAlign w:val="center"/>
          </w:tcPr>
          <w:p w14:paraId="3D943536" w14:textId="5F702B6A" w:rsidR="00C62BDC" w:rsidRPr="00DB1C62" w:rsidRDefault="00C62BDC" w:rsidP="00C62BDC">
            <w:pPr>
              <w:pStyle w:val="MDPI42tablebody"/>
              <w:spacing w:line="240" w:lineRule="auto"/>
            </w:pPr>
            <w:r w:rsidRPr="00DB1C62">
              <w:rPr>
                <w:rFonts w:cs="Courier New"/>
              </w:rPr>
              <w:t>0.929350</w:t>
            </w:r>
          </w:p>
        </w:tc>
        <w:tc>
          <w:tcPr>
            <w:tcW w:w="1284" w:type="dxa"/>
            <w:shd w:val="clear" w:color="auto" w:fill="auto"/>
            <w:vAlign w:val="center"/>
          </w:tcPr>
          <w:p w14:paraId="79CA2C75" w14:textId="6D3E6695" w:rsidR="00C62BDC" w:rsidRPr="00DB1C62" w:rsidRDefault="00C62BDC" w:rsidP="00C62BDC">
            <w:pPr>
              <w:pStyle w:val="MDPI42tablebody"/>
              <w:spacing w:line="240" w:lineRule="auto"/>
            </w:pPr>
            <w:r w:rsidRPr="00DB1C62">
              <w:rPr>
                <w:rFonts w:cs="Courier New"/>
              </w:rPr>
              <w:t>-2.910676</w:t>
            </w:r>
          </w:p>
        </w:tc>
        <w:tc>
          <w:tcPr>
            <w:tcW w:w="1142" w:type="dxa"/>
            <w:vAlign w:val="center"/>
          </w:tcPr>
          <w:p w14:paraId="5C188E85" w14:textId="0DF2639C" w:rsidR="00C62BDC" w:rsidRPr="00DB1C62" w:rsidRDefault="00C62BDC" w:rsidP="00C62BDC">
            <w:pPr>
              <w:pStyle w:val="MDPI42tablebody"/>
              <w:spacing w:line="240" w:lineRule="auto"/>
            </w:pPr>
            <w:r w:rsidRPr="00DB1C62">
              <w:rPr>
                <w:rFonts w:cs="Courier New"/>
              </w:rPr>
              <w:t>32</w:t>
            </w:r>
          </w:p>
        </w:tc>
        <w:tc>
          <w:tcPr>
            <w:tcW w:w="1142" w:type="dxa"/>
            <w:vAlign w:val="center"/>
          </w:tcPr>
          <w:p w14:paraId="352074A3" w14:textId="26E4065B" w:rsidR="00C62BDC" w:rsidRPr="00DB1C62" w:rsidRDefault="00C62BDC" w:rsidP="00C62BDC">
            <w:pPr>
              <w:pStyle w:val="MDPI42tablebody"/>
              <w:spacing w:line="240" w:lineRule="auto"/>
            </w:pPr>
            <w:r w:rsidRPr="00DB1C62">
              <w:rPr>
                <w:rFonts w:cs="Courier New"/>
              </w:rPr>
              <w:t>1</w:t>
            </w:r>
          </w:p>
        </w:tc>
        <w:tc>
          <w:tcPr>
            <w:tcW w:w="1142" w:type="dxa"/>
            <w:vAlign w:val="center"/>
          </w:tcPr>
          <w:p w14:paraId="39274F68" w14:textId="14D48AC2" w:rsidR="00C62BDC" w:rsidRPr="00DB1C62" w:rsidRDefault="00C62BDC" w:rsidP="00C62BDC">
            <w:pPr>
              <w:pStyle w:val="MDPI42tablebody"/>
              <w:spacing w:line="240" w:lineRule="auto"/>
            </w:pPr>
            <w:r w:rsidRPr="00DB1C62">
              <w:rPr>
                <w:rFonts w:cs="Courier New"/>
              </w:rPr>
              <w:t>6</w:t>
            </w:r>
          </w:p>
        </w:tc>
        <w:tc>
          <w:tcPr>
            <w:tcW w:w="1142" w:type="dxa"/>
            <w:vAlign w:val="center"/>
          </w:tcPr>
          <w:p w14:paraId="341E197B" w14:textId="38DBE2B5" w:rsidR="00C62BDC" w:rsidRPr="00DB1C62" w:rsidRDefault="00C62BDC" w:rsidP="00C62BDC">
            <w:pPr>
              <w:pStyle w:val="MDPI42tablebody"/>
              <w:spacing w:line="240" w:lineRule="auto"/>
            </w:pPr>
            <w:r w:rsidRPr="00DB1C62">
              <w:rPr>
                <w:rFonts w:cs="Courier New"/>
              </w:rPr>
              <w:t>1043.929</w:t>
            </w:r>
          </w:p>
        </w:tc>
      </w:tr>
      <w:tr w:rsidR="00C62BDC" w:rsidRPr="00DB1C62" w14:paraId="3F14E927" w14:textId="77777777" w:rsidTr="00703DCA">
        <w:trPr>
          <w:jc w:val="center"/>
        </w:trPr>
        <w:tc>
          <w:tcPr>
            <w:tcW w:w="1294" w:type="dxa"/>
            <w:shd w:val="clear" w:color="auto" w:fill="auto"/>
            <w:vAlign w:val="center"/>
          </w:tcPr>
          <w:p w14:paraId="7AAE6FB8" w14:textId="172ECFD1" w:rsidR="00C62BDC" w:rsidRPr="00DB1C62" w:rsidRDefault="00C62BDC" w:rsidP="00C62BDC">
            <w:pPr>
              <w:pStyle w:val="MDPI42tablebody"/>
              <w:spacing w:line="240" w:lineRule="auto"/>
            </w:pPr>
            <w:r w:rsidRPr="00DB1C62">
              <w:t>IV</w:t>
            </w:r>
          </w:p>
        </w:tc>
        <w:tc>
          <w:tcPr>
            <w:tcW w:w="1283" w:type="dxa"/>
            <w:shd w:val="clear" w:color="auto" w:fill="auto"/>
            <w:vAlign w:val="center"/>
          </w:tcPr>
          <w:p w14:paraId="1100D005" w14:textId="6695165D" w:rsidR="00C62BDC" w:rsidRPr="00DB1C62" w:rsidRDefault="00C62BDC" w:rsidP="00C62BDC">
            <w:pPr>
              <w:pStyle w:val="MDPI42tablebody"/>
              <w:spacing w:line="240" w:lineRule="auto"/>
            </w:pPr>
            <w:r w:rsidRPr="00DB1C62">
              <w:rPr>
                <w:rFonts w:cs="Courier New"/>
              </w:rPr>
              <w:t>1.570796</w:t>
            </w:r>
          </w:p>
        </w:tc>
        <w:tc>
          <w:tcPr>
            <w:tcW w:w="1142" w:type="dxa"/>
            <w:vAlign w:val="center"/>
          </w:tcPr>
          <w:p w14:paraId="67391220" w14:textId="0087DB1C" w:rsidR="00C62BDC" w:rsidRPr="00DB1C62" w:rsidRDefault="00C62BDC" w:rsidP="00C62BDC">
            <w:pPr>
              <w:pStyle w:val="MDPI42tablebody"/>
              <w:spacing w:line="240" w:lineRule="auto"/>
            </w:pPr>
            <w:r w:rsidRPr="00DB1C62">
              <w:rPr>
                <w:rFonts w:cs="Courier New"/>
              </w:rPr>
              <w:t>1.128190</w:t>
            </w:r>
          </w:p>
        </w:tc>
        <w:tc>
          <w:tcPr>
            <w:tcW w:w="1284" w:type="dxa"/>
            <w:shd w:val="clear" w:color="auto" w:fill="auto"/>
            <w:vAlign w:val="center"/>
          </w:tcPr>
          <w:p w14:paraId="13794C51" w14:textId="76ED752B" w:rsidR="00C62BDC" w:rsidRPr="00DB1C62" w:rsidRDefault="00C62BDC" w:rsidP="00C62BDC">
            <w:pPr>
              <w:pStyle w:val="MDPI42tablebody"/>
              <w:spacing w:line="240" w:lineRule="auto"/>
            </w:pPr>
            <w:r w:rsidRPr="00DB1C62">
              <w:rPr>
                <w:rFonts w:cs="Courier New"/>
              </w:rPr>
              <w:t>-2.288622</w:t>
            </w:r>
          </w:p>
        </w:tc>
        <w:tc>
          <w:tcPr>
            <w:tcW w:w="1142" w:type="dxa"/>
            <w:vAlign w:val="center"/>
          </w:tcPr>
          <w:p w14:paraId="2F71681D" w14:textId="0EB4F513" w:rsidR="00C62BDC" w:rsidRPr="00DB1C62" w:rsidRDefault="00C62BDC" w:rsidP="00C62BDC">
            <w:pPr>
              <w:pStyle w:val="MDPI42tablebody"/>
              <w:spacing w:line="240" w:lineRule="auto"/>
            </w:pPr>
            <w:r w:rsidRPr="00DB1C62">
              <w:rPr>
                <w:rFonts w:cs="Courier New"/>
              </w:rPr>
              <w:t>13</w:t>
            </w:r>
          </w:p>
        </w:tc>
        <w:tc>
          <w:tcPr>
            <w:tcW w:w="1142" w:type="dxa"/>
            <w:vAlign w:val="center"/>
          </w:tcPr>
          <w:p w14:paraId="2CB3EC37" w14:textId="4F2AA20F" w:rsidR="00C62BDC" w:rsidRPr="00DB1C62" w:rsidRDefault="00C62BDC" w:rsidP="00C62BDC">
            <w:pPr>
              <w:pStyle w:val="MDPI42tablebody"/>
              <w:spacing w:line="240" w:lineRule="auto"/>
            </w:pPr>
            <w:r w:rsidRPr="00DB1C62">
              <w:rPr>
                <w:rFonts w:cs="Courier New"/>
              </w:rPr>
              <w:t>40</w:t>
            </w:r>
          </w:p>
        </w:tc>
        <w:tc>
          <w:tcPr>
            <w:tcW w:w="1142" w:type="dxa"/>
            <w:vAlign w:val="center"/>
          </w:tcPr>
          <w:p w14:paraId="0D79BEFE" w14:textId="3197F038" w:rsidR="00C62BDC" w:rsidRPr="00DB1C62" w:rsidRDefault="00C62BDC" w:rsidP="00C62BDC">
            <w:pPr>
              <w:pStyle w:val="MDPI42tablebody"/>
              <w:spacing w:line="240" w:lineRule="auto"/>
            </w:pPr>
            <w:r w:rsidRPr="00DB1C62">
              <w:rPr>
                <w:rFonts w:cs="Courier New"/>
              </w:rPr>
              <w:t>3</w:t>
            </w:r>
          </w:p>
        </w:tc>
        <w:tc>
          <w:tcPr>
            <w:tcW w:w="1142" w:type="dxa"/>
            <w:vAlign w:val="center"/>
          </w:tcPr>
          <w:p w14:paraId="12A0D4EB" w14:textId="2CE754DC" w:rsidR="00C62BDC" w:rsidRPr="00DB1C62" w:rsidRDefault="00C62BDC" w:rsidP="00C62BDC">
            <w:pPr>
              <w:pStyle w:val="MDPI42tablebody"/>
              <w:spacing w:line="240" w:lineRule="auto"/>
            </w:pPr>
            <w:r w:rsidRPr="00DB1C62">
              <w:rPr>
                <w:rFonts w:cs="Courier New"/>
              </w:rPr>
              <w:t>1035.133</w:t>
            </w:r>
          </w:p>
        </w:tc>
      </w:tr>
      <w:tr w:rsidR="00C62BDC" w:rsidRPr="00DB1C62" w14:paraId="019AEFE0" w14:textId="77777777" w:rsidTr="00703DCA">
        <w:trPr>
          <w:jc w:val="center"/>
        </w:trPr>
        <w:tc>
          <w:tcPr>
            <w:tcW w:w="1294" w:type="dxa"/>
            <w:shd w:val="clear" w:color="auto" w:fill="auto"/>
            <w:vAlign w:val="center"/>
          </w:tcPr>
          <w:p w14:paraId="20415656" w14:textId="79E75013" w:rsidR="00C62BDC" w:rsidRPr="00DB1C62" w:rsidRDefault="00C62BDC" w:rsidP="00C62BDC">
            <w:pPr>
              <w:pStyle w:val="MDPI42tablebody"/>
              <w:spacing w:line="240" w:lineRule="auto"/>
            </w:pPr>
            <w:r w:rsidRPr="00DB1C62">
              <w:t>V</w:t>
            </w:r>
          </w:p>
        </w:tc>
        <w:tc>
          <w:tcPr>
            <w:tcW w:w="1283" w:type="dxa"/>
            <w:shd w:val="clear" w:color="auto" w:fill="auto"/>
            <w:vAlign w:val="center"/>
          </w:tcPr>
          <w:p w14:paraId="0599DA91" w14:textId="41AF3E75" w:rsidR="00C62BDC" w:rsidRPr="00DB1C62" w:rsidRDefault="00C62BDC" w:rsidP="00C62BDC">
            <w:pPr>
              <w:pStyle w:val="MDPI42tablebody"/>
              <w:spacing w:line="240" w:lineRule="auto"/>
            </w:pPr>
            <w:r w:rsidRPr="00DB1C62">
              <w:rPr>
                <w:rFonts w:cs="Courier New"/>
              </w:rPr>
              <w:t>-3.141593</w:t>
            </w:r>
          </w:p>
        </w:tc>
        <w:tc>
          <w:tcPr>
            <w:tcW w:w="1142" w:type="dxa"/>
            <w:vAlign w:val="center"/>
          </w:tcPr>
          <w:p w14:paraId="7A629E6D" w14:textId="7AFBF3BB" w:rsidR="00C62BDC" w:rsidRPr="00DB1C62" w:rsidRDefault="00C62BDC" w:rsidP="00C62BDC">
            <w:pPr>
              <w:pStyle w:val="MDPI42tablebody"/>
              <w:spacing w:line="240" w:lineRule="auto"/>
            </w:pPr>
            <w:r w:rsidRPr="00DB1C62">
              <w:rPr>
                <w:rFonts w:cs="Courier New"/>
              </w:rPr>
              <w:t>2.863997</w:t>
            </w:r>
          </w:p>
        </w:tc>
        <w:tc>
          <w:tcPr>
            <w:tcW w:w="1284" w:type="dxa"/>
            <w:shd w:val="clear" w:color="auto" w:fill="auto"/>
            <w:vAlign w:val="center"/>
          </w:tcPr>
          <w:p w14:paraId="3464ACD1" w14:textId="2EC235FC" w:rsidR="00C62BDC" w:rsidRPr="00DB1C62" w:rsidRDefault="00C62BDC" w:rsidP="00C62BDC">
            <w:pPr>
              <w:pStyle w:val="MDPI42tablebody"/>
              <w:spacing w:line="240" w:lineRule="auto"/>
            </w:pPr>
            <w:r w:rsidRPr="00DB1C62">
              <w:rPr>
                <w:rFonts w:cs="Courier New"/>
              </w:rPr>
              <w:t>0.549740</w:t>
            </w:r>
          </w:p>
        </w:tc>
        <w:tc>
          <w:tcPr>
            <w:tcW w:w="1142" w:type="dxa"/>
            <w:vAlign w:val="center"/>
          </w:tcPr>
          <w:p w14:paraId="15469316" w14:textId="6B9DD17F" w:rsidR="00C62BDC" w:rsidRPr="00DB1C62" w:rsidRDefault="00C62BDC" w:rsidP="00C62BDC">
            <w:pPr>
              <w:pStyle w:val="MDPI42tablebody"/>
              <w:spacing w:line="240" w:lineRule="auto"/>
            </w:pPr>
            <w:r w:rsidRPr="00DB1C62">
              <w:rPr>
                <w:rFonts w:cs="Courier New"/>
              </w:rPr>
              <w:t>31</w:t>
            </w:r>
          </w:p>
        </w:tc>
        <w:tc>
          <w:tcPr>
            <w:tcW w:w="1142" w:type="dxa"/>
            <w:vAlign w:val="center"/>
          </w:tcPr>
          <w:p w14:paraId="4F857F91" w14:textId="207AE3E2" w:rsidR="00C62BDC" w:rsidRPr="00DB1C62" w:rsidRDefault="00C62BDC" w:rsidP="00C62BDC">
            <w:pPr>
              <w:pStyle w:val="MDPI42tablebody"/>
              <w:spacing w:line="240" w:lineRule="auto"/>
            </w:pPr>
            <w:r w:rsidRPr="00DB1C62">
              <w:rPr>
                <w:rFonts w:cs="Courier New"/>
              </w:rPr>
              <w:t>24</w:t>
            </w:r>
          </w:p>
        </w:tc>
        <w:tc>
          <w:tcPr>
            <w:tcW w:w="1142" w:type="dxa"/>
            <w:vAlign w:val="center"/>
          </w:tcPr>
          <w:p w14:paraId="4F7BCFF1" w14:textId="25851A90" w:rsidR="00C62BDC" w:rsidRPr="00DB1C62" w:rsidRDefault="00C62BDC" w:rsidP="00C62BDC">
            <w:pPr>
              <w:pStyle w:val="MDPI42tablebody"/>
              <w:spacing w:line="240" w:lineRule="auto"/>
            </w:pPr>
            <w:r w:rsidRPr="00DB1C62">
              <w:rPr>
                <w:rFonts w:cs="Courier New"/>
              </w:rPr>
              <w:t>140</w:t>
            </w:r>
          </w:p>
        </w:tc>
        <w:tc>
          <w:tcPr>
            <w:tcW w:w="1142" w:type="dxa"/>
            <w:vAlign w:val="center"/>
          </w:tcPr>
          <w:p w14:paraId="5BE52A77" w14:textId="7E58C865" w:rsidR="00C62BDC" w:rsidRPr="00DB1C62" w:rsidRDefault="00C62BDC" w:rsidP="00C62BDC">
            <w:pPr>
              <w:pStyle w:val="MDPI42tablebody"/>
              <w:spacing w:line="240" w:lineRule="auto"/>
            </w:pPr>
            <w:r w:rsidRPr="00DB1C62">
              <w:rPr>
                <w:rFonts w:cs="Courier New"/>
              </w:rPr>
              <w:t>1032.254</w:t>
            </w:r>
          </w:p>
        </w:tc>
      </w:tr>
      <w:tr w:rsidR="00C62BDC" w:rsidRPr="00DB1C62" w14:paraId="0C30091E" w14:textId="77777777" w:rsidTr="00703DCA">
        <w:trPr>
          <w:jc w:val="center"/>
        </w:trPr>
        <w:tc>
          <w:tcPr>
            <w:tcW w:w="1294" w:type="dxa"/>
            <w:shd w:val="clear" w:color="auto" w:fill="auto"/>
            <w:vAlign w:val="center"/>
          </w:tcPr>
          <w:p w14:paraId="2FF11348" w14:textId="39F7F039" w:rsidR="00C62BDC" w:rsidRPr="00DB1C62" w:rsidRDefault="00C62BDC" w:rsidP="00C62BDC">
            <w:pPr>
              <w:pStyle w:val="MDPI42tablebody"/>
              <w:spacing w:line="240" w:lineRule="auto"/>
            </w:pPr>
            <w:r w:rsidRPr="00DB1C62">
              <w:t>VI</w:t>
            </w:r>
          </w:p>
        </w:tc>
        <w:tc>
          <w:tcPr>
            <w:tcW w:w="1283" w:type="dxa"/>
            <w:shd w:val="clear" w:color="auto" w:fill="auto"/>
            <w:vAlign w:val="center"/>
          </w:tcPr>
          <w:p w14:paraId="4E7D7FC2" w14:textId="2F0CD2D6" w:rsidR="00C62BDC" w:rsidRPr="00DB1C62" w:rsidRDefault="00C62BDC" w:rsidP="00C62BDC">
            <w:pPr>
              <w:pStyle w:val="MDPI42tablebody"/>
              <w:spacing w:line="240" w:lineRule="auto"/>
            </w:pPr>
            <w:r w:rsidRPr="00DB1C62">
              <w:rPr>
                <w:rFonts w:cs="Courier New"/>
              </w:rPr>
              <w:t>-2.879793</w:t>
            </w:r>
          </w:p>
        </w:tc>
        <w:tc>
          <w:tcPr>
            <w:tcW w:w="1142" w:type="dxa"/>
            <w:vAlign w:val="center"/>
          </w:tcPr>
          <w:p w14:paraId="3F9B0936" w14:textId="1A01373B" w:rsidR="00C62BDC" w:rsidRPr="00DB1C62" w:rsidRDefault="00C62BDC" w:rsidP="00C62BDC">
            <w:pPr>
              <w:pStyle w:val="MDPI42tablebody"/>
              <w:spacing w:line="240" w:lineRule="auto"/>
            </w:pPr>
            <w:r w:rsidRPr="00DB1C62">
              <w:rPr>
                <w:rFonts w:cs="Courier New"/>
              </w:rPr>
              <w:t>2.108018</w:t>
            </w:r>
          </w:p>
        </w:tc>
        <w:tc>
          <w:tcPr>
            <w:tcW w:w="1284" w:type="dxa"/>
            <w:shd w:val="clear" w:color="auto" w:fill="auto"/>
            <w:vAlign w:val="center"/>
          </w:tcPr>
          <w:p w14:paraId="39BD229A" w14:textId="3BB0A3F5" w:rsidR="00C62BDC" w:rsidRPr="00DB1C62" w:rsidRDefault="00C62BDC" w:rsidP="00C62BDC">
            <w:pPr>
              <w:pStyle w:val="MDPI42tablebody"/>
              <w:spacing w:line="240" w:lineRule="auto"/>
            </w:pPr>
            <w:r w:rsidRPr="00DB1C62">
              <w:rPr>
                <w:rFonts w:cs="Courier New"/>
              </w:rPr>
              <w:t>1.311430</w:t>
            </w:r>
          </w:p>
        </w:tc>
        <w:tc>
          <w:tcPr>
            <w:tcW w:w="1142" w:type="dxa"/>
            <w:vAlign w:val="center"/>
          </w:tcPr>
          <w:p w14:paraId="27E53A73" w14:textId="028EB976" w:rsidR="00C62BDC" w:rsidRPr="00DB1C62" w:rsidRDefault="00C62BDC" w:rsidP="00C62BDC">
            <w:pPr>
              <w:pStyle w:val="MDPI42tablebody"/>
              <w:spacing w:line="240" w:lineRule="auto"/>
            </w:pPr>
            <w:r w:rsidRPr="00DB1C62">
              <w:rPr>
                <w:rFonts w:cs="Courier New"/>
              </w:rPr>
              <w:t>28</w:t>
            </w:r>
          </w:p>
        </w:tc>
        <w:tc>
          <w:tcPr>
            <w:tcW w:w="1142" w:type="dxa"/>
            <w:vAlign w:val="center"/>
          </w:tcPr>
          <w:p w14:paraId="200012B7" w14:textId="386D93F9" w:rsidR="00C62BDC" w:rsidRPr="00DB1C62" w:rsidRDefault="00C62BDC" w:rsidP="00C62BDC">
            <w:pPr>
              <w:pStyle w:val="MDPI42tablebody"/>
              <w:spacing w:line="240" w:lineRule="auto"/>
            </w:pPr>
            <w:r w:rsidRPr="00DB1C62">
              <w:rPr>
                <w:rFonts w:cs="Courier New"/>
              </w:rPr>
              <w:t>13</w:t>
            </w:r>
          </w:p>
        </w:tc>
        <w:tc>
          <w:tcPr>
            <w:tcW w:w="1142" w:type="dxa"/>
            <w:vAlign w:val="center"/>
          </w:tcPr>
          <w:p w14:paraId="3DDAAE27" w14:textId="5ED28276" w:rsidR="00C62BDC" w:rsidRPr="00DB1C62" w:rsidRDefault="00C62BDC" w:rsidP="00C62BDC">
            <w:pPr>
              <w:pStyle w:val="MDPI42tablebody"/>
              <w:spacing w:line="240" w:lineRule="auto"/>
            </w:pPr>
            <w:r w:rsidRPr="00DB1C62">
              <w:rPr>
                <w:rFonts w:cs="Courier New"/>
              </w:rPr>
              <w:t>120</w:t>
            </w:r>
          </w:p>
        </w:tc>
        <w:tc>
          <w:tcPr>
            <w:tcW w:w="1142" w:type="dxa"/>
            <w:vAlign w:val="center"/>
          </w:tcPr>
          <w:p w14:paraId="0957E670" w14:textId="4CE3D2E4" w:rsidR="00C62BDC" w:rsidRPr="00DB1C62" w:rsidRDefault="00C62BDC" w:rsidP="00C62BDC">
            <w:pPr>
              <w:pStyle w:val="MDPI42tablebody"/>
              <w:spacing w:line="240" w:lineRule="auto"/>
            </w:pPr>
            <w:r w:rsidRPr="00DB1C62">
              <w:rPr>
                <w:rFonts w:cs="Courier New"/>
              </w:rPr>
              <w:t>1029.320</w:t>
            </w:r>
          </w:p>
        </w:tc>
      </w:tr>
      <w:tr w:rsidR="00C62BDC" w:rsidRPr="00DB1C62" w14:paraId="3626E8EE" w14:textId="77777777" w:rsidTr="00703DCA">
        <w:trPr>
          <w:jc w:val="center"/>
        </w:trPr>
        <w:tc>
          <w:tcPr>
            <w:tcW w:w="1294" w:type="dxa"/>
            <w:shd w:val="clear" w:color="auto" w:fill="auto"/>
            <w:vAlign w:val="center"/>
          </w:tcPr>
          <w:p w14:paraId="1AE50C88" w14:textId="77C79657" w:rsidR="00C62BDC" w:rsidRPr="00DB1C62" w:rsidRDefault="00C62BDC" w:rsidP="00C62BDC">
            <w:pPr>
              <w:pStyle w:val="MDPI42tablebody"/>
              <w:spacing w:line="240" w:lineRule="auto"/>
            </w:pPr>
            <w:r w:rsidRPr="00DB1C62">
              <w:t>VII</w:t>
            </w:r>
          </w:p>
        </w:tc>
        <w:tc>
          <w:tcPr>
            <w:tcW w:w="1283" w:type="dxa"/>
            <w:shd w:val="clear" w:color="auto" w:fill="auto"/>
            <w:vAlign w:val="center"/>
          </w:tcPr>
          <w:p w14:paraId="601E75FA" w14:textId="5B1E4F7D" w:rsidR="00C62BDC" w:rsidRPr="00DB1C62" w:rsidRDefault="00C62BDC" w:rsidP="00C62BDC">
            <w:pPr>
              <w:pStyle w:val="MDPI42tablebody"/>
              <w:spacing w:line="240" w:lineRule="auto"/>
            </w:pPr>
            <w:r w:rsidRPr="00DB1C62">
              <w:rPr>
                <w:rFonts w:cs="Courier New"/>
              </w:rPr>
              <w:t>2.356194</w:t>
            </w:r>
          </w:p>
        </w:tc>
        <w:tc>
          <w:tcPr>
            <w:tcW w:w="1142" w:type="dxa"/>
            <w:vAlign w:val="center"/>
          </w:tcPr>
          <w:p w14:paraId="0BA0D6FC" w14:textId="34DC665F" w:rsidR="00C62BDC" w:rsidRPr="00DB1C62" w:rsidRDefault="00C62BDC" w:rsidP="00C62BDC">
            <w:pPr>
              <w:pStyle w:val="MDPI42tablebody"/>
              <w:spacing w:line="240" w:lineRule="auto"/>
            </w:pPr>
            <w:r w:rsidRPr="00DB1C62">
              <w:rPr>
                <w:rFonts w:cs="Courier New"/>
              </w:rPr>
              <w:t>0.618092</w:t>
            </w:r>
          </w:p>
        </w:tc>
        <w:tc>
          <w:tcPr>
            <w:tcW w:w="1284" w:type="dxa"/>
            <w:shd w:val="clear" w:color="auto" w:fill="auto"/>
            <w:vAlign w:val="center"/>
          </w:tcPr>
          <w:p w14:paraId="346428E3" w14:textId="06501CF0" w:rsidR="00C62BDC" w:rsidRPr="00DB1C62" w:rsidRDefault="00C62BDC" w:rsidP="00C62BDC">
            <w:pPr>
              <w:pStyle w:val="MDPI42tablebody"/>
              <w:spacing w:line="240" w:lineRule="auto"/>
            </w:pPr>
            <w:r w:rsidRPr="00DB1C62">
              <w:rPr>
                <w:rFonts w:cs="Courier New"/>
              </w:rPr>
              <w:t>2.539118</w:t>
            </w:r>
          </w:p>
        </w:tc>
        <w:tc>
          <w:tcPr>
            <w:tcW w:w="1142" w:type="dxa"/>
            <w:vAlign w:val="center"/>
          </w:tcPr>
          <w:p w14:paraId="01814DCE" w14:textId="4A72CF2C" w:rsidR="00C62BDC" w:rsidRPr="00DB1C62" w:rsidRDefault="00C62BDC" w:rsidP="00C62BDC">
            <w:pPr>
              <w:pStyle w:val="MDPI42tablebody"/>
              <w:spacing w:line="240" w:lineRule="auto"/>
            </w:pPr>
            <w:r w:rsidRPr="00DB1C62">
              <w:rPr>
                <w:rFonts w:cs="Courier New"/>
              </w:rPr>
              <w:t>18</w:t>
            </w:r>
          </w:p>
        </w:tc>
        <w:tc>
          <w:tcPr>
            <w:tcW w:w="1142" w:type="dxa"/>
            <w:vAlign w:val="center"/>
          </w:tcPr>
          <w:p w14:paraId="58929A4C" w14:textId="3182965D" w:rsidR="00C62BDC" w:rsidRPr="00DB1C62" w:rsidRDefault="00C62BDC" w:rsidP="00C62BDC">
            <w:pPr>
              <w:pStyle w:val="MDPI42tablebody"/>
              <w:spacing w:line="240" w:lineRule="auto"/>
            </w:pPr>
            <w:r w:rsidRPr="00DB1C62">
              <w:rPr>
                <w:rFonts w:cs="Courier New"/>
              </w:rPr>
              <w:t>36</w:t>
            </w:r>
          </w:p>
        </w:tc>
        <w:tc>
          <w:tcPr>
            <w:tcW w:w="1142" w:type="dxa"/>
            <w:vAlign w:val="center"/>
          </w:tcPr>
          <w:p w14:paraId="0B3633E0" w14:textId="79CF3D48" w:rsidR="00C62BDC" w:rsidRPr="00DB1C62" w:rsidRDefault="00C62BDC" w:rsidP="00C62BDC">
            <w:pPr>
              <w:pStyle w:val="MDPI42tablebody"/>
              <w:spacing w:line="240" w:lineRule="auto"/>
            </w:pPr>
            <w:r w:rsidRPr="00DB1C62">
              <w:rPr>
                <w:rFonts w:cs="Courier New"/>
              </w:rPr>
              <w:t>123</w:t>
            </w:r>
          </w:p>
        </w:tc>
        <w:tc>
          <w:tcPr>
            <w:tcW w:w="1142" w:type="dxa"/>
            <w:vAlign w:val="center"/>
          </w:tcPr>
          <w:p w14:paraId="3970C449" w14:textId="1E6EE8A5" w:rsidR="00C62BDC" w:rsidRPr="00DB1C62" w:rsidRDefault="00C62BDC" w:rsidP="00C62BDC">
            <w:pPr>
              <w:pStyle w:val="MDPI42tablebody"/>
              <w:spacing w:line="240" w:lineRule="auto"/>
            </w:pPr>
            <w:r w:rsidRPr="00DB1C62">
              <w:rPr>
                <w:rFonts w:cs="Courier New"/>
              </w:rPr>
              <w:t>1019.748</w:t>
            </w:r>
          </w:p>
        </w:tc>
      </w:tr>
      <w:tr w:rsidR="00C62BDC" w:rsidRPr="00DB1C62" w14:paraId="53DB2185" w14:textId="77777777" w:rsidTr="00703DCA">
        <w:trPr>
          <w:jc w:val="center"/>
        </w:trPr>
        <w:tc>
          <w:tcPr>
            <w:tcW w:w="1294" w:type="dxa"/>
            <w:shd w:val="clear" w:color="auto" w:fill="auto"/>
            <w:vAlign w:val="center"/>
          </w:tcPr>
          <w:p w14:paraId="0DC2C616" w14:textId="3EDF8D6E" w:rsidR="00C62BDC" w:rsidRPr="00DB1C62" w:rsidRDefault="00C62BDC" w:rsidP="00C62BDC">
            <w:pPr>
              <w:pStyle w:val="MDPI42tablebody"/>
              <w:spacing w:line="240" w:lineRule="auto"/>
            </w:pPr>
            <w:r w:rsidRPr="00DB1C62">
              <w:t>VIII</w:t>
            </w:r>
          </w:p>
        </w:tc>
        <w:tc>
          <w:tcPr>
            <w:tcW w:w="1283" w:type="dxa"/>
            <w:shd w:val="clear" w:color="auto" w:fill="auto"/>
            <w:vAlign w:val="center"/>
          </w:tcPr>
          <w:p w14:paraId="0435E262" w14:textId="1FDFD497" w:rsidR="00C62BDC" w:rsidRPr="00DB1C62" w:rsidRDefault="00C62BDC" w:rsidP="00C62BDC">
            <w:pPr>
              <w:pStyle w:val="MDPI42tablebody"/>
              <w:spacing w:line="240" w:lineRule="auto"/>
            </w:pPr>
            <w:r w:rsidRPr="00DB1C62">
              <w:rPr>
                <w:rFonts w:cs="Courier New"/>
              </w:rPr>
              <w:t>2.617994</w:t>
            </w:r>
          </w:p>
        </w:tc>
        <w:tc>
          <w:tcPr>
            <w:tcW w:w="1142" w:type="dxa"/>
            <w:vAlign w:val="center"/>
          </w:tcPr>
          <w:p w14:paraId="223A7968" w14:textId="68EB65BE" w:rsidR="00C62BDC" w:rsidRPr="00DB1C62" w:rsidRDefault="00C62BDC" w:rsidP="00C62BDC">
            <w:pPr>
              <w:pStyle w:val="MDPI42tablebody"/>
              <w:spacing w:line="240" w:lineRule="auto"/>
            </w:pPr>
            <w:r w:rsidRPr="00DB1C62">
              <w:rPr>
                <w:rFonts w:cs="Courier New"/>
              </w:rPr>
              <w:t>0.591903</w:t>
            </w:r>
          </w:p>
        </w:tc>
        <w:tc>
          <w:tcPr>
            <w:tcW w:w="1284" w:type="dxa"/>
            <w:shd w:val="clear" w:color="auto" w:fill="auto"/>
            <w:vAlign w:val="center"/>
          </w:tcPr>
          <w:p w14:paraId="38506046" w14:textId="29AB0F67" w:rsidR="00C62BDC" w:rsidRPr="00DB1C62" w:rsidRDefault="00C62BDC" w:rsidP="00C62BDC">
            <w:pPr>
              <w:pStyle w:val="MDPI42tablebody"/>
              <w:spacing w:line="240" w:lineRule="auto"/>
            </w:pPr>
            <w:r w:rsidRPr="00DB1C62">
              <w:rPr>
                <w:rFonts w:cs="Courier New"/>
              </w:rPr>
              <w:t>2.010408</w:t>
            </w:r>
          </w:p>
        </w:tc>
        <w:tc>
          <w:tcPr>
            <w:tcW w:w="1142" w:type="dxa"/>
            <w:vAlign w:val="center"/>
          </w:tcPr>
          <w:p w14:paraId="7E8A40EE" w14:textId="227AB30B" w:rsidR="00C62BDC" w:rsidRPr="00DB1C62" w:rsidRDefault="00C62BDC" w:rsidP="00C62BDC">
            <w:pPr>
              <w:pStyle w:val="MDPI42tablebody"/>
              <w:spacing w:line="240" w:lineRule="auto"/>
            </w:pPr>
            <w:r w:rsidRPr="00DB1C62">
              <w:rPr>
                <w:rFonts w:cs="Courier New"/>
              </w:rPr>
              <w:t>28</w:t>
            </w:r>
          </w:p>
        </w:tc>
        <w:tc>
          <w:tcPr>
            <w:tcW w:w="1142" w:type="dxa"/>
            <w:vAlign w:val="center"/>
          </w:tcPr>
          <w:p w14:paraId="18E9F30F" w14:textId="5833718E" w:rsidR="00C62BDC" w:rsidRPr="00DB1C62" w:rsidRDefault="00C62BDC" w:rsidP="00C62BDC">
            <w:pPr>
              <w:pStyle w:val="MDPI42tablebody"/>
              <w:spacing w:line="240" w:lineRule="auto"/>
            </w:pPr>
            <w:r w:rsidRPr="00DB1C62">
              <w:rPr>
                <w:rFonts w:cs="Courier New"/>
              </w:rPr>
              <w:t>29</w:t>
            </w:r>
          </w:p>
        </w:tc>
        <w:tc>
          <w:tcPr>
            <w:tcW w:w="1142" w:type="dxa"/>
            <w:vAlign w:val="center"/>
          </w:tcPr>
          <w:p w14:paraId="621E3F05" w14:textId="48983624" w:rsidR="00C62BDC" w:rsidRPr="00DB1C62" w:rsidRDefault="00C62BDC" w:rsidP="00C62BDC">
            <w:pPr>
              <w:pStyle w:val="MDPI42tablebody"/>
              <w:spacing w:line="240" w:lineRule="auto"/>
            </w:pPr>
            <w:r w:rsidRPr="00DB1C62">
              <w:rPr>
                <w:rFonts w:cs="Courier New"/>
              </w:rPr>
              <w:t>135</w:t>
            </w:r>
          </w:p>
        </w:tc>
        <w:tc>
          <w:tcPr>
            <w:tcW w:w="1142" w:type="dxa"/>
            <w:vAlign w:val="center"/>
          </w:tcPr>
          <w:p w14:paraId="3D6481FA" w14:textId="1261EFF4" w:rsidR="00C62BDC" w:rsidRPr="00DB1C62" w:rsidRDefault="00C62BDC" w:rsidP="00C62BDC">
            <w:pPr>
              <w:pStyle w:val="MDPI42tablebody"/>
              <w:spacing w:line="240" w:lineRule="auto"/>
            </w:pPr>
            <w:r w:rsidRPr="00DB1C62">
              <w:rPr>
                <w:rFonts w:cs="Courier New"/>
              </w:rPr>
              <w:t>998.296</w:t>
            </w:r>
          </w:p>
        </w:tc>
      </w:tr>
      <w:tr w:rsidR="00C62BDC" w:rsidRPr="00DB1C62" w14:paraId="683152EB" w14:textId="77777777" w:rsidTr="00703DCA">
        <w:trPr>
          <w:jc w:val="center"/>
        </w:trPr>
        <w:tc>
          <w:tcPr>
            <w:tcW w:w="1294" w:type="dxa"/>
            <w:shd w:val="clear" w:color="auto" w:fill="auto"/>
            <w:vAlign w:val="center"/>
          </w:tcPr>
          <w:p w14:paraId="18A1D305" w14:textId="21417853" w:rsidR="00C62BDC" w:rsidRPr="00DB1C62" w:rsidRDefault="00C62BDC" w:rsidP="00C62BDC">
            <w:pPr>
              <w:pStyle w:val="MDPI42tablebody"/>
              <w:spacing w:line="240" w:lineRule="auto"/>
            </w:pPr>
            <w:r w:rsidRPr="00DB1C62">
              <w:t>IX</w:t>
            </w:r>
          </w:p>
        </w:tc>
        <w:tc>
          <w:tcPr>
            <w:tcW w:w="1283" w:type="dxa"/>
            <w:shd w:val="clear" w:color="auto" w:fill="auto"/>
            <w:vAlign w:val="center"/>
          </w:tcPr>
          <w:p w14:paraId="13292948" w14:textId="523F1432" w:rsidR="00C62BDC" w:rsidRPr="00DB1C62" w:rsidRDefault="00C62BDC" w:rsidP="00C62BDC">
            <w:pPr>
              <w:pStyle w:val="MDPI42tablebody"/>
              <w:spacing w:line="240" w:lineRule="auto"/>
            </w:pPr>
            <w:r w:rsidRPr="00DB1C62">
              <w:rPr>
                <w:rFonts w:cs="Courier New"/>
              </w:rPr>
              <w:t>-2.879793</w:t>
            </w:r>
          </w:p>
        </w:tc>
        <w:tc>
          <w:tcPr>
            <w:tcW w:w="1142" w:type="dxa"/>
            <w:vAlign w:val="center"/>
          </w:tcPr>
          <w:p w14:paraId="2D21670E" w14:textId="58F6909D" w:rsidR="00C62BDC" w:rsidRPr="00DB1C62" w:rsidRDefault="00C62BDC" w:rsidP="00C62BDC">
            <w:pPr>
              <w:pStyle w:val="MDPI42tablebody"/>
              <w:spacing w:line="240" w:lineRule="auto"/>
            </w:pPr>
            <w:r w:rsidRPr="00DB1C62">
              <w:rPr>
                <w:rFonts w:cs="Courier New"/>
              </w:rPr>
              <w:t>2.251330</w:t>
            </w:r>
          </w:p>
        </w:tc>
        <w:tc>
          <w:tcPr>
            <w:tcW w:w="1284" w:type="dxa"/>
            <w:shd w:val="clear" w:color="auto" w:fill="auto"/>
            <w:vAlign w:val="center"/>
          </w:tcPr>
          <w:p w14:paraId="757B4AE4" w14:textId="0616B7B2" w:rsidR="00C62BDC" w:rsidRPr="00DB1C62" w:rsidRDefault="00C62BDC" w:rsidP="00C62BDC">
            <w:pPr>
              <w:pStyle w:val="MDPI42tablebody"/>
              <w:spacing w:line="240" w:lineRule="auto"/>
            </w:pPr>
            <w:r w:rsidRPr="00DB1C62">
              <w:rPr>
                <w:rFonts w:cs="Courier New"/>
              </w:rPr>
              <w:t>-2.330739</w:t>
            </w:r>
          </w:p>
        </w:tc>
        <w:tc>
          <w:tcPr>
            <w:tcW w:w="1142" w:type="dxa"/>
            <w:vAlign w:val="center"/>
          </w:tcPr>
          <w:p w14:paraId="15F4FF9F" w14:textId="3091E748" w:rsidR="00C62BDC" w:rsidRPr="00DB1C62" w:rsidRDefault="00C62BDC" w:rsidP="00C62BDC">
            <w:pPr>
              <w:pStyle w:val="MDPI42tablebody"/>
              <w:spacing w:line="240" w:lineRule="auto"/>
            </w:pPr>
            <w:r w:rsidRPr="00DB1C62">
              <w:rPr>
                <w:rFonts w:cs="Courier New"/>
              </w:rPr>
              <w:t>118</w:t>
            </w:r>
          </w:p>
        </w:tc>
        <w:tc>
          <w:tcPr>
            <w:tcW w:w="1142" w:type="dxa"/>
            <w:vAlign w:val="center"/>
          </w:tcPr>
          <w:p w14:paraId="72FF34BA" w14:textId="686270CC" w:rsidR="00C62BDC" w:rsidRPr="00DB1C62" w:rsidRDefault="00C62BDC" w:rsidP="00C62BDC">
            <w:pPr>
              <w:pStyle w:val="MDPI42tablebody"/>
              <w:spacing w:line="240" w:lineRule="auto"/>
            </w:pPr>
            <w:r w:rsidRPr="00DB1C62">
              <w:rPr>
                <w:rFonts w:cs="Courier New"/>
              </w:rPr>
              <w:t>1</w:t>
            </w:r>
          </w:p>
        </w:tc>
        <w:tc>
          <w:tcPr>
            <w:tcW w:w="1142" w:type="dxa"/>
            <w:vAlign w:val="center"/>
          </w:tcPr>
          <w:p w14:paraId="4396A5BA" w14:textId="238E326E" w:rsidR="00C62BDC" w:rsidRPr="00DB1C62" w:rsidRDefault="00C62BDC" w:rsidP="00C62BDC">
            <w:pPr>
              <w:pStyle w:val="MDPI42tablebody"/>
              <w:spacing w:line="240" w:lineRule="auto"/>
            </w:pPr>
            <w:r w:rsidRPr="00DB1C62">
              <w:rPr>
                <w:rFonts w:cs="Courier New"/>
              </w:rPr>
              <w:t>2</w:t>
            </w:r>
          </w:p>
        </w:tc>
        <w:tc>
          <w:tcPr>
            <w:tcW w:w="1142" w:type="dxa"/>
            <w:vAlign w:val="center"/>
          </w:tcPr>
          <w:p w14:paraId="0560A89D" w14:textId="21316427" w:rsidR="00C62BDC" w:rsidRPr="00DB1C62" w:rsidRDefault="00C62BDC" w:rsidP="00C62BDC">
            <w:pPr>
              <w:pStyle w:val="MDPI42tablebody"/>
              <w:spacing w:line="240" w:lineRule="auto"/>
            </w:pPr>
            <w:r w:rsidRPr="00DB1C62">
              <w:rPr>
                <w:rFonts w:cs="Courier New"/>
              </w:rPr>
              <w:t>997.355</w:t>
            </w:r>
          </w:p>
        </w:tc>
      </w:tr>
      <w:tr w:rsidR="00C62BDC" w:rsidRPr="00DB1C62" w14:paraId="639282C1" w14:textId="77777777" w:rsidTr="00703DCA">
        <w:trPr>
          <w:jc w:val="center"/>
        </w:trPr>
        <w:tc>
          <w:tcPr>
            <w:tcW w:w="1294" w:type="dxa"/>
            <w:tcBorders>
              <w:bottom w:val="single" w:sz="4" w:space="0" w:color="auto"/>
            </w:tcBorders>
            <w:shd w:val="clear" w:color="auto" w:fill="auto"/>
            <w:vAlign w:val="center"/>
          </w:tcPr>
          <w:p w14:paraId="4746F0F0" w14:textId="67B1C6F1" w:rsidR="00C62BDC" w:rsidRPr="00DB1C62" w:rsidRDefault="00C62BDC" w:rsidP="00C62BDC">
            <w:pPr>
              <w:pStyle w:val="MDPI42tablebody"/>
              <w:spacing w:line="240" w:lineRule="auto"/>
            </w:pPr>
            <w:r w:rsidRPr="00DB1C62">
              <w:t>X</w:t>
            </w:r>
          </w:p>
        </w:tc>
        <w:tc>
          <w:tcPr>
            <w:tcW w:w="1283" w:type="dxa"/>
            <w:tcBorders>
              <w:bottom w:val="single" w:sz="4" w:space="0" w:color="auto"/>
            </w:tcBorders>
            <w:shd w:val="clear" w:color="auto" w:fill="auto"/>
            <w:vAlign w:val="center"/>
          </w:tcPr>
          <w:p w14:paraId="079612CA" w14:textId="7EDBFCDD" w:rsidR="00C62BDC" w:rsidRPr="00DB1C62" w:rsidRDefault="00C62BDC" w:rsidP="00C62BDC">
            <w:pPr>
              <w:pStyle w:val="MDPI42tablebody"/>
              <w:spacing w:line="240" w:lineRule="auto"/>
            </w:pPr>
            <w:r w:rsidRPr="00DB1C62">
              <w:rPr>
                <w:rFonts w:cs="Courier New"/>
              </w:rPr>
              <w:t>0.785398</w:t>
            </w:r>
          </w:p>
        </w:tc>
        <w:tc>
          <w:tcPr>
            <w:tcW w:w="1142" w:type="dxa"/>
            <w:tcBorders>
              <w:bottom w:val="single" w:sz="4" w:space="0" w:color="auto"/>
            </w:tcBorders>
            <w:vAlign w:val="center"/>
          </w:tcPr>
          <w:p w14:paraId="235B7C91" w14:textId="58809C2D" w:rsidR="00C62BDC" w:rsidRPr="00DB1C62" w:rsidRDefault="00C62BDC" w:rsidP="00C62BDC">
            <w:pPr>
              <w:pStyle w:val="MDPI42tablebody"/>
              <w:spacing w:line="240" w:lineRule="auto"/>
            </w:pPr>
            <w:r w:rsidRPr="00DB1C62">
              <w:rPr>
                <w:rFonts w:cs="Courier New"/>
              </w:rPr>
              <w:t>2.251330</w:t>
            </w:r>
          </w:p>
        </w:tc>
        <w:tc>
          <w:tcPr>
            <w:tcW w:w="1284" w:type="dxa"/>
            <w:tcBorders>
              <w:bottom w:val="single" w:sz="4" w:space="0" w:color="auto"/>
            </w:tcBorders>
            <w:shd w:val="clear" w:color="auto" w:fill="auto"/>
            <w:vAlign w:val="center"/>
          </w:tcPr>
          <w:p w14:paraId="07C68E76" w14:textId="58F447C8" w:rsidR="00C62BDC" w:rsidRPr="00DB1C62" w:rsidRDefault="00C62BDC" w:rsidP="00C62BDC">
            <w:pPr>
              <w:pStyle w:val="MDPI42tablebody"/>
              <w:spacing w:line="240" w:lineRule="auto"/>
            </w:pPr>
            <w:r w:rsidRPr="00DB1C62">
              <w:rPr>
                <w:rFonts w:cs="Courier New"/>
              </w:rPr>
              <w:t>-2.330739</w:t>
            </w:r>
          </w:p>
        </w:tc>
        <w:tc>
          <w:tcPr>
            <w:tcW w:w="1142" w:type="dxa"/>
            <w:tcBorders>
              <w:bottom w:val="single" w:sz="4" w:space="0" w:color="auto"/>
            </w:tcBorders>
            <w:vAlign w:val="center"/>
          </w:tcPr>
          <w:p w14:paraId="6753F8CA" w14:textId="2E72B0E7" w:rsidR="00C62BDC" w:rsidRPr="00DB1C62" w:rsidRDefault="00C62BDC" w:rsidP="00C62BDC">
            <w:pPr>
              <w:pStyle w:val="MDPI42tablebody"/>
              <w:spacing w:line="240" w:lineRule="auto"/>
            </w:pPr>
            <w:r w:rsidRPr="00DB1C62">
              <w:rPr>
                <w:rFonts w:cs="Courier New"/>
              </w:rPr>
              <w:t>27</w:t>
            </w:r>
          </w:p>
        </w:tc>
        <w:tc>
          <w:tcPr>
            <w:tcW w:w="1142" w:type="dxa"/>
            <w:tcBorders>
              <w:bottom w:val="single" w:sz="4" w:space="0" w:color="auto"/>
            </w:tcBorders>
            <w:vAlign w:val="center"/>
          </w:tcPr>
          <w:p w14:paraId="1B7C58DE" w14:textId="00F96151" w:rsidR="00C62BDC" w:rsidRPr="00DB1C62" w:rsidRDefault="00C62BDC" w:rsidP="00C62BDC">
            <w:pPr>
              <w:pStyle w:val="MDPI42tablebody"/>
              <w:spacing w:line="240" w:lineRule="auto"/>
            </w:pPr>
            <w:r w:rsidRPr="00DB1C62">
              <w:rPr>
                <w:rFonts w:cs="Courier New"/>
              </w:rPr>
              <w:t>30</w:t>
            </w:r>
          </w:p>
        </w:tc>
        <w:tc>
          <w:tcPr>
            <w:tcW w:w="1142" w:type="dxa"/>
            <w:tcBorders>
              <w:bottom w:val="single" w:sz="4" w:space="0" w:color="auto"/>
            </w:tcBorders>
            <w:vAlign w:val="center"/>
          </w:tcPr>
          <w:p w14:paraId="0C69FD51" w14:textId="7A171A44" w:rsidR="00C62BDC" w:rsidRPr="00DB1C62" w:rsidRDefault="00C62BDC" w:rsidP="00C62BDC">
            <w:pPr>
              <w:pStyle w:val="MDPI42tablebody"/>
              <w:spacing w:line="240" w:lineRule="auto"/>
            </w:pPr>
            <w:r w:rsidRPr="00DB1C62">
              <w:rPr>
                <w:rFonts w:cs="Courier New"/>
              </w:rPr>
              <w:t>135</w:t>
            </w:r>
          </w:p>
        </w:tc>
        <w:tc>
          <w:tcPr>
            <w:tcW w:w="1142" w:type="dxa"/>
            <w:tcBorders>
              <w:bottom w:val="single" w:sz="4" w:space="0" w:color="auto"/>
            </w:tcBorders>
            <w:vAlign w:val="center"/>
          </w:tcPr>
          <w:p w14:paraId="5927B689" w14:textId="6357AB99" w:rsidR="00C62BDC" w:rsidRPr="00DB1C62" w:rsidRDefault="00C62BDC" w:rsidP="00C62BDC">
            <w:pPr>
              <w:pStyle w:val="MDPI42tablebody"/>
              <w:spacing w:line="240" w:lineRule="auto"/>
            </w:pPr>
            <w:r w:rsidRPr="00DB1C62">
              <w:rPr>
                <w:rFonts w:cs="Courier New"/>
              </w:rPr>
              <w:t>989.781</w:t>
            </w:r>
          </w:p>
        </w:tc>
      </w:tr>
    </w:tbl>
    <w:p w14:paraId="257AD95C" w14:textId="177463D6" w:rsidR="00DD6BB5" w:rsidRPr="005C3C49" w:rsidRDefault="00C62BDC" w:rsidP="005C3C49">
      <w:pPr>
        <w:pStyle w:val="MDPI43tablefooter"/>
        <w:spacing w:after="240"/>
        <w:ind w:left="425" w:right="425"/>
        <w:jc w:val="center"/>
      </w:pPr>
      <w:r w:rsidRPr="00DB1C62">
        <w:t>Columns 1-3 are the Euler angles (in radians) for rotating the ligand, columns 4-6 are the grid positions describing the translation of the ligand with respect to its starting point.</w:t>
      </w:r>
    </w:p>
    <w:sectPr w:rsidR="00DD6BB5" w:rsidRPr="005C3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56D11"/>
    <w:multiLevelType w:val="multilevel"/>
    <w:tmpl w:val="DF9AC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C0C"/>
    <w:rsid w:val="00012249"/>
    <w:rsid w:val="00045B49"/>
    <w:rsid w:val="00056363"/>
    <w:rsid w:val="000A68A3"/>
    <w:rsid w:val="001A72C4"/>
    <w:rsid w:val="00200BEF"/>
    <w:rsid w:val="0021079D"/>
    <w:rsid w:val="0026242D"/>
    <w:rsid w:val="002A2F8C"/>
    <w:rsid w:val="002D212C"/>
    <w:rsid w:val="003065D9"/>
    <w:rsid w:val="003B3D8F"/>
    <w:rsid w:val="003B7748"/>
    <w:rsid w:val="005C3C49"/>
    <w:rsid w:val="00610CEA"/>
    <w:rsid w:val="006F5C0C"/>
    <w:rsid w:val="00703DCA"/>
    <w:rsid w:val="00780055"/>
    <w:rsid w:val="007A765D"/>
    <w:rsid w:val="007F3A5A"/>
    <w:rsid w:val="008D5A7E"/>
    <w:rsid w:val="009A5DF8"/>
    <w:rsid w:val="00B54DF6"/>
    <w:rsid w:val="00BC173B"/>
    <w:rsid w:val="00C263DF"/>
    <w:rsid w:val="00C62BDC"/>
    <w:rsid w:val="00CA1B42"/>
    <w:rsid w:val="00CA47E0"/>
    <w:rsid w:val="00D00EB5"/>
    <w:rsid w:val="00D575AD"/>
    <w:rsid w:val="00D902D4"/>
    <w:rsid w:val="00DB1C62"/>
    <w:rsid w:val="00DD6BB5"/>
    <w:rsid w:val="00E42BE9"/>
    <w:rsid w:val="00E537A9"/>
    <w:rsid w:val="00EF440F"/>
    <w:rsid w:val="00FC5159"/>
    <w:rsid w:val="00FD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01DCF"/>
  <w15:docId w15:val="{52DEF7D6-C14A-42D6-A920-155EDF40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12title">
    <w:name w:val="MDPI_1.2_title"/>
    <w:next w:val="MDPI13authornames"/>
    <w:qFormat/>
    <w:rsid w:val="008D5A7E"/>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MDPI14history"/>
    <w:qFormat/>
    <w:rsid w:val="008D5A7E"/>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a"/>
    <w:next w:val="a"/>
    <w:qFormat/>
    <w:rsid w:val="008D5A7E"/>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6affiliation">
    <w:name w:val="MDPI_1.6_affiliation"/>
    <w:qFormat/>
    <w:rsid w:val="008D5A7E"/>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51figurecaption">
    <w:name w:val="MDPI_5.1_figure_caption"/>
    <w:qFormat/>
    <w:rsid w:val="003065D9"/>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3065D9"/>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31text">
    <w:name w:val="MDPI_3.1_text"/>
    <w:qFormat/>
    <w:rsid w:val="003065D9"/>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qFormat/>
    <w:rsid w:val="003065D9"/>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styleId="a3">
    <w:name w:val="Balloon Text"/>
    <w:basedOn w:val="a"/>
    <w:link w:val="a4"/>
    <w:uiPriority w:val="99"/>
    <w:semiHidden/>
    <w:unhideWhenUsed/>
    <w:rsid w:val="00DD6B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6BB5"/>
    <w:rPr>
      <w:rFonts w:ascii="Tahoma" w:hAnsi="Tahoma" w:cs="Tahoma"/>
      <w:sz w:val="16"/>
      <w:szCs w:val="16"/>
    </w:rPr>
  </w:style>
  <w:style w:type="character" w:styleId="a5">
    <w:name w:val="Hyperlink"/>
    <w:basedOn w:val="a0"/>
    <w:uiPriority w:val="99"/>
    <w:unhideWhenUsed/>
    <w:rsid w:val="00DD6BB5"/>
    <w:rPr>
      <w:color w:val="0000FF"/>
      <w:u w:val="single"/>
    </w:rPr>
  </w:style>
  <w:style w:type="paragraph" w:customStyle="1" w:styleId="MDPI42tablebody">
    <w:name w:val="MDPI_4.2_table_body"/>
    <w:qFormat/>
    <w:rsid w:val="00D00EB5"/>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basedOn w:val="a"/>
    <w:next w:val="MDPI31text"/>
    <w:qFormat/>
    <w:rsid w:val="00D00EB5"/>
    <w:pPr>
      <w:adjustRightInd w:val="0"/>
      <w:snapToGrid w:val="0"/>
      <w:spacing w:after="120" w:line="260" w:lineRule="atLeast"/>
      <w:jc w:val="both"/>
    </w:pPr>
    <w:rPr>
      <w:rFonts w:ascii="Palatino Linotype" w:eastAsia="Times New Roman" w:hAnsi="Palatino Linotype" w:cs="Times New Roman"/>
      <w:color w:val="000000"/>
      <w:sz w:val="18"/>
      <w:lang w:val="en-US" w:eastAsia="de-DE" w:bidi="en-US"/>
    </w:rPr>
  </w:style>
  <w:style w:type="table" w:styleId="a6">
    <w:name w:val="Table Grid"/>
    <w:basedOn w:val="a1"/>
    <w:uiPriority w:val="39"/>
    <w:rsid w:val="00C62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uiPriority w:val="99"/>
    <w:semiHidden/>
    <w:unhideWhenUsed/>
    <w:rsid w:val="00DB1C62"/>
    <w:rPr>
      <w:sz w:val="16"/>
      <w:szCs w:val="16"/>
    </w:rPr>
  </w:style>
  <w:style w:type="paragraph" w:styleId="a8">
    <w:name w:val="annotation text"/>
    <w:basedOn w:val="a"/>
    <w:link w:val="a9"/>
    <w:uiPriority w:val="99"/>
    <w:semiHidden/>
    <w:unhideWhenUsed/>
    <w:rsid w:val="00DB1C62"/>
    <w:pPr>
      <w:spacing w:after="0" w:line="240" w:lineRule="auto"/>
      <w:jc w:val="both"/>
    </w:pPr>
    <w:rPr>
      <w:rFonts w:ascii="Times New Roman" w:eastAsia="Times New Roman" w:hAnsi="Times New Roman" w:cs="Times New Roman"/>
      <w:color w:val="000000"/>
      <w:sz w:val="20"/>
      <w:szCs w:val="20"/>
      <w:lang w:val="en-US" w:eastAsia="de-DE"/>
    </w:rPr>
  </w:style>
  <w:style w:type="character" w:customStyle="1" w:styleId="a9">
    <w:name w:val="Текст примечания Знак"/>
    <w:basedOn w:val="a0"/>
    <w:link w:val="a8"/>
    <w:uiPriority w:val="99"/>
    <w:semiHidden/>
    <w:rsid w:val="00DB1C62"/>
    <w:rPr>
      <w:rFonts w:ascii="Times New Roman" w:eastAsia="Times New Roman" w:hAnsi="Times New Roman" w:cs="Times New Roman"/>
      <w:color w:val="000000"/>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856F-D827-4AA8-B12A-B01C42A07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1663</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ФГБУ «ЦСП» Минздрава России</Company>
  <LinksUpToDate>false</LinksUpToDate>
  <CharactersWithSpaces>11126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Leonid A. Kaluzhskiy</cp:lastModifiedBy>
  <cp:revision>5</cp:revision>
  <dcterms:created xsi:type="dcterms:W3CDTF">2020-10-14T13:25:00Z</dcterms:created>
  <dcterms:modified xsi:type="dcterms:W3CDTF">2020-10-14T13:31:00Z</dcterms:modified>
</cp:coreProperties>
</file>