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9A5E8" w14:textId="3D73631F" w:rsidR="00D335E3" w:rsidRPr="00066FE0" w:rsidRDefault="000C2E44" w:rsidP="0050283A">
      <w:pPr>
        <w:spacing w:after="0" w:line="360" w:lineRule="auto"/>
        <w:contextualSpacing/>
        <w:jc w:val="both"/>
        <w:rPr>
          <w:rFonts w:ascii="Palatino Linotype" w:hAnsi="Palatino Linotype"/>
          <w:sz w:val="20"/>
          <w:szCs w:val="20"/>
        </w:rPr>
      </w:pPr>
      <w:r w:rsidRPr="00066FE0">
        <w:rPr>
          <w:rFonts w:ascii="Palatino Linotype" w:hAnsi="Palatino Linotype"/>
          <w:b/>
          <w:bCs/>
          <w:sz w:val="20"/>
          <w:szCs w:val="20"/>
        </w:rPr>
        <w:t xml:space="preserve">Table S1. </w:t>
      </w:r>
      <w:r w:rsidR="005C5736" w:rsidRPr="005C5736">
        <w:rPr>
          <w:rFonts w:ascii="Palatino Linotype" w:hAnsi="Palatino Linotype"/>
          <w:sz w:val="20"/>
          <w:szCs w:val="20"/>
        </w:rPr>
        <w:t>miR-1915-5p–targeted mRNAs</w:t>
      </w:r>
      <w:r w:rsidR="00224D4F">
        <w:rPr>
          <w:rFonts w:ascii="Palatino Linotype" w:hAnsi="Palatino Linotype"/>
          <w:sz w:val="20"/>
          <w:szCs w:val="20"/>
        </w:rPr>
        <w:t xml:space="preserve"> </w:t>
      </w:r>
      <w:r w:rsidR="005C5736">
        <w:rPr>
          <w:rFonts w:ascii="Palatino Linotype" w:hAnsi="Palatino Linotype"/>
          <w:sz w:val="20"/>
          <w:szCs w:val="20"/>
        </w:rPr>
        <w:t>that encode proteins implicated</w:t>
      </w:r>
      <w:r w:rsidR="00224D4F">
        <w:rPr>
          <w:rFonts w:ascii="Palatino Linotype" w:hAnsi="Palatino Linotype"/>
          <w:sz w:val="20"/>
          <w:szCs w:val="20"/>
        </w:rPr>
        <w:t xml:space="preserve"> in CRC</w:t>
      </w:r>
      <w:r w:rsidR="005C5736">
        <w:rPr>
          <w:rFonts w:ascii="Palatino Linotype" w:hAnsi="Palatino Linotype"/>
          <w:sz w:val="20"/>
          <w:szCs w:val="20"/>
        </w:rPr>
        <w:t>, as predicted using bioinformatical tools.</w:t>
      </w:r>
    </w:p>
    <w:tbl>
      <w:tblPr>
        <w:tblStyle w:val="Mdeck5tablebodythreelines"/>
        <w:tblW w:w="9028" w:type="dxa"/>
        <w:tblLayout w:type="fixed"/>
        <w:tblLook w:val="04A0" w:firstRow="1" w:lastRow="0" w:firstColumn="1" w:lastColumn="0" w:noHBand="0" w:noVBand="1"/>
      </w:tblPr>
      <w:tblGrid>
        <w:gridCol w:w="4082"/>
        <w:gridCol w:w="1412"/>
        <w:gridCol w:w="993"/>
        <w:gridCol w:w="1407"/>
        <w:gridCol w:w="1134"/>
      </w:tblGrid>
      <w:tr w:rsidR="005C5736" w:rsidRPr="00582AE2" w14:paraId="071A01A6" w14:textId="77777777" w:rsidTr="00BF19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40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1756FA" w14:textId="651F3802" w:rsidR="005C5736" w:rsidRPr="00162EA0" w:rsidRDefault="005C5736" w:rsidP="0050283A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miR-1915-5p–targeted mRNAs </w:t>
            </w:r>
          </w:p>
        </w:tc>
        <w:tc>
          <w:tcPr>
            <w:tcW w:w="4946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1D70AFEE" w14:textId="2C9B3780" w:rsidR="005C5736" w:rsidRPr="00893CD1" w:rsidRDefault="0050283A" w:rsidP="0050283A">
            <w:pPr>
              <w:pStyle w:val="MDPI42tablebody"/>
              <w:spacing w:line="360" w:lineRule="auto"/>
              <w:contextualSpacing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Prediction s</w:t>
            </w:r>
            <w:r w:rsidR="005C5736">
              <w:rPr>
                <w:b/>
                <w:bCs/>
                <w:color w:val="auto"/>
              </w:rPr>
              <w:t>cores</w:t>
            </w:r>
            <w:r>
              <w:rPr>
                <w:b/>
                <w:bCs/>
                <w:color w:val="auto"/>
              </w:rPr>
              <w:t xml:space="preserve"> </w:t>
            </w:r>
          </w:p>
        </w:tc>
      </w:tr>
      <w:tr w:rsidR="005C5736" w:rsidRPr="00582AE2" w14:paraId="14E7B1DF" w14:textId="77777777" w:rsidTr="00BF1922">
        <w:trPr>
          <w:trHeight w:val="397"/>
        </w:trPr>
        <w:tc>
          <w:tcPr>
            <w:tcW w:w="4082" w:type="dxa"/>
            <w:vMerge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BDFC06" w14:textId="77777777" w:rsidR="005C5736" w:rsidRPr="00893CD1" w:rsidRDefault="005C5736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14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14:paraId="127A26EF" w14:textId="054D33B4" w:rsidR="005C5736" w:rsidRPr="00162EA0" w:rsidRDefault="005C5736" w:rsidP="0050283A">
            <w:pPr>
              <w:pStyle w:val="MDPI42tablebody"/>
              <w:spacing w:line="360" w:lineRule="auto"/>
              <w:contextualSpacing/>
              <w:rPr>
                <w:b/>
                <w:bCs/>
              </w:rPr>
            </w:pPr>
            <w:r w:rsidRPr="00162EA0">
              <w:rPr>
                <w:b/>
                <w:bCs/>
              </w:rPr>
              <w:t xml:space="preserve">TarBase </w:t>
            </w:r>
            <w:r w:rsidR="0050283A">
              <w:rPr>
                <w:b/>
                <w:bCs/>
              </w:rPr>
              <w:t>(</w:t>
            </w:r>
            <w:r w:rsidRPr="00162EA0">
              <w:rPr>
                <w:b/>
                <w:bCs/>
              </w:rPr>
              <w:t>v</w:t>
            </w:r>
            <w:r>
              <w:rPr>
                <w:b/>
                <w:bCs/>
              </w:rPr>
              <w:t>.</w:t>
            </w:r>
            <w:r w:rsidRPr="00162EA0">
              <w:rPr>
                <w:b/>
                <w:bCs/>
              </w:rPr>
              <w:t>8</w:t>
            </w:r>
            <w:r w:rsidR="0050283A">
              <w:rPr>
                <w:b/>
                <w:bCs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14:paraId="73344D80" w14:textId="77777777" w:rsidR="005C5736" w:rsidRPr="00162EA0" w:rsidRDefault="005C5736" w:rsidP="0050283A">
            <w:pPr>
              <w:pStyle w:val="MDPI42tablebody"/>
              <w:spacing w:line="360" w:lineRule="auto"/>
              <w:contextualSpacing/>
              <w:rPr>
                <w:b/>
                <w:bCs/>
              </w:rPr>
            </w:pPr>
            <w:r w:rsidRPr="00162EA0">
              <w:rPr>
                <w:b/>
                <w:bCs/>
              </w:rPr>
              <w:t>miRDB</w:t>
            </w: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</w:tcPr>
          <w:p w14:paraId="388E2DEC" w14:textId="51DB7E26" w:rsidR="005C5736" w:rsidRPr="00162EA0" w:rsidRDefault="005C5736" w:rsidP="0050283A">
            <w:pPr>
              <w:pStyle w:val="MDPI42tablebody"/>
              <w:spacing w:line="360" w:lineRule="auto"/>
              <w:contextualSpacing/>
              <w:rPr>
                <w:b/>
                <w:bCs/>
              </w:rPr>
            </w:pPr>
            <w:r w:rsidRPr="00162EA0">
              <w:rPr>
                <w:b/>
                <w:bCs/>
              </w:rPr>
              <w:t>Target</w:t>
            </w:r>
            <w:r w:rsidR="0050283A">
              <w:rPr>
                <w:b/>
                <w:bCs/>
              </w:rPr>
              <w:t>R</w:t>
            </w:r>
            <w:r w:rsidRPr="00162EA0">
              <w:rPr>
                <w:b/>
                <w:bCs/>
              </w:rPr>
              <w:t>ank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</w:tcPr>
          <w:p w14:paraId="41848B7A" w14:textId="2D8C2CEA" w:rsidR="005C5736" w:rsidRPr="00162EA0" w:rsidRDefault="005C5736" w:rsidP="0050283A">
            <w:pPr>
              <w:pStyle w:val="MDPI42tablebody"/>
              <w:spacing w:line="360" w:lineRule="auto"/>
              <w:contextualSpacing/>
              <w:rPr>
                <w:b/>
                <w:bCs/>
              </w:rPr>
            </w:pPr>
            <w:r w:rsidRPr="00162EA0">
              <w:rPr>
                <w:b/>
                <w:bCs/>
              </w:rPr>
              <w:t>mi</w:t>
            </w:r>
            <w:r w:rsidR="0084662E">
              <w:rPr>
                <w:b/>
                <w:bCs/>
              </w:rPr>
              <w:t>RW</w:t>
            </w:r>
            <w:r w:rsidRPr="00162EA0">
              <w:rPr>
                <w:b/>
                <w:bCs/>
              </w:rPr>
              <w:t>alk</w:t>
            </w:r>
          </w:p>
        </w:tc>
      </w:tr>
      <w:tr w:rsidR="000C2E44" w:rsidRPr="00582AE2" w14:paraId="06C377B2" w14:textId="77777777" w:rsidTr="00BF1922">
        <w:trPr>
          <w:trHeight w:val="397"/>
        </w:trPr>
        <w:tc>
          <w:tcPr>
            <w:tcW w:w="4082" w:type="dxa"/>
            <w:tcBorders>
              <w:top w:val="single" w:sz="8" w:space="0" w:color="auto"/>
              <w:left w:val="single" w:sz="12" w:space="0" w:color="auto"/>
              <w:bottom w:val="single" w:sz="4" w:space="0" w:color="A6A6A6" w:themeColor="background1" w:themeShade="A6"/>
              <w:right w:val="single" w:sz="8" w:space="0" w:color="auto"/>
            </w:tcBorders>
          </w:tcPr>
          <w:p w14:paraId="179F76BB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  <w:rPr>
                <w:i/>
                <w:iCs/>
              </w:rPr>
            </w:pPr>
            <w:r w:rsidRPr="00162EA0">
              <w:t>ELL-associated factor 1</w:t>
            </w:r>
            <w:r>
              <w:t xml:space="preserve"> (</w:t>
            </w:r>
            <w:r w:rsidRPr="00162EA0">
              <w:rPr>
                <w:i/>
                <w:iCs/>
              </w:rPr>
              <w:t>EAF1</w:t>
            </w:r>
            <w:r>
              <w:rPr>
                <w:i/>
                <w:iCs/>
              </w:rPr>
              <w:t>)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5B9A98AF" w14:textId="472CF8EC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54E0469E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 w:rsidRPr="00162EA0">
              <w:t>90</w:t>
            </w:r>
          </w:p>
        </w:tc>
        <w:tc>
          <w:tcPr>
            <w:tcW w:w="1407" w:type="dxa"/>
            <w:tcBorders>
              <w:top w:val="single" w:sz="8" w:space="0" w:color="auto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3B01FB75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6</w:t>
            </w:r>
            <w:r w:rsidRPr="00162EA0"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56188C19" w14:textId="20E3C5EA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bookmarkStart w:id="0" w:name="_GoBack"/>
            <w:bookmarkEnd w:id="0"/>
          </w:p>
        </w:tc>
      </w:tr>
      <w:tr w:rsidR="000C2E44" w:rsidRPr="00582AE2" w14:paraId="3C84F915" w14:textId="77777777" w:rsidTr="00BF1922">
        <w:trPr>
          <w:trHeight w:val="397"/>
        </w:trPr>
        <w:tc>
          <w:tcPr>
            <w:tcW w:w="408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8" w:space="0" w:color="auto"/>
            </w:tcBorders>
            <w:hideMark/>
          </w:tcPr>
          <w:p w14:paraId="13D3AEA0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  <w:rPr>
                <w:i/>
                <w:iCs/>
              </w:rPr>
            </w:pPr>
            <w:r w:rsidRPr="00162EA0">
              <w:t>Death-associated protein kinase 1</w:t>
            </w:r>
            <w:r>
              <w:t xml:space="preserve"> (</w:t>
            </w:r>
            <w:r w:rsidRPr="00162EA0">
              <w:rPr>
                <w:i/>
                <w:iCs/>
              </w:rPr>
              <w:t>DAPK1</w:t>
            </w:r>
            <w:r>
              <w:rPr>
                <w:i/>
                <w:iCs/>
              </w:rPr>
              <w:t>)</w:t>
            </w:r>
          </w:p>
        </w:tc>
        <w:tc>
          <w:tcPr>
            <w:tcW w:w="1412" w:type="dxa"/>
            <w:tcBorders>
              <w:top w:val="single" w:sz="4" w:space="0" w:color="A6A6A6" w:themeColor="background1" w:themeShade="A6"/>
              <w:left w:val="single" w:sz="8" w:space="0" w:color="auto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3ADEE420" w14:textId="2356454F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13E27BB7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86</w:t>
            </w:r>
          </w:p>
        </w:tc>
        <w:tc>
          <w:tcPr>
            <w:tcW w:w="1407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72B0D805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59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055C2F08" w14:textId="5D2C6870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</w:tr>
      <w:tr w:rsidR="000C2E44" w:rsidRPr="00582AE2" w14:paraId="5B08E224" w14:textId="77777777" w:rsidTr="00BF1922">
        <w:trPr>
          <w:trHeight w:val="397"/>
        </w:trPr>
        <w:tc>
          <w:tcPr>
            <w:tcW w:w="408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8" w:space="0" w:color="auto"/>
            </w:tcBorders>
          </w:tcPr>
          <w:p w14:paraId="545476CA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  <w:rPr>
                <w:i/>
                <w:iCs/>
              </w:rPr>
            </w:pPr>
            <w:r w:rsidRPr="003A29F0">
              <w:t xml:space="preserve">Histone </w:t>
            </w:r>
            <w:r>
              <w:t>d</w:t>
            </w:r>
            <w:r w:rsidRPr="003A29F0">
              <w:t>eacetylase 2</w:t>
            </w:r>
            <w:r>
              <w:t xml:space="preserve"> (</w:t>
            </w:r>
            <w:r w:rsidRPr="00162EA0">
              <w:rPr>
                <w:i/>
                <w:iCs/>
              </w:rPr>
              <w:t>HDAC2</w:t>
            </w:r>
            <w:r>
              <w:rPr>
                <w:i/>
                <w:iCs/>
              </w:rPr>
              <w:t>)</w:t>
            </w:r>
          </w:p>
        </w:tc>
        <w:tc>
          <w:tcPr>
            <w:tcW w:w="1412" w:type="dxa"/>
            <w:tcBorders>
              <w:top w:val="single" w:sz="4" w:space="0" w:color="A6A6A6" w:themeColor="background1" w:themeShade="A6"/>
              <w:left w:val="single" w:sz="8" w:space="0" w:color="auto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475E0D42" w14:textId="3FADBDCB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7E2F69B3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80</w:t>
            </w:r>
          </w:p>
        </w:tc>
        <w:tc>
          <w:tcPr>
            <w:tcW w:w="1407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7BF6F83A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4C9DC12E" w14:textId="0BAF8701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</w:tr>
      <w:tr w:rsidR="000C2E44" w:rsidRPr="00582AE2" w14:paraId="00C266D0" w14:textId="77777777" w:rsidTr="00BF1922">
        <w:trPr>
          <w:trHeight w:val="397"/>
        </w:trPr>
        <w:tc>
          <w:tcPr>
            <w:tcW w:w="408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4" w:space="0" w:color="A6A6A6" w:themeColor="background1" w:themeShade="A6"/>
              <w:right w:val="single" w:sz="8" w:space="0" w:color="auto"/>
            </w:tcBorders>
          </w:tcPr>
          <w:p w14:paraId="7ED87683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  <w:rPr>
                <w:i/>
                <w:iCs/>
              </w:rPr>
            </w:pPr>
            <w:r w:rsidRPr="00162EA0">
              <w:t>Peroxiredoxin 3</w:t>
            </w:r>
            <w:r>
              <w:t xml:space="preserve"> (</w:t>
            </w:r>
            <w:r w:rsidRPr="00162EA0">
              <w:rPr>
                <w:i/>
                <w:iCs/>
              </w:rPr>
              <w:t>PRDX3</w:t>
            </w:r>
            <w:r>
              <w:rPr>
                <w:i/>
                <w:iCs/>
              </w:rPr>
              <w:t>)</w:t>
            </w:r>
          </w:p>
        </w:tc>
        <w:tc>
          <w:tcPr>
            <w:tcW w:w="1412" w:type="dxa"/>
            <w:tcBorders>
              <w:top w:val="single" w:sz="4" w:space="0" w:color="A6A6A6" w:themeColor="background1" w:themeShade="A6"/>
              <w:left w:val="single" w:sz="8" w:space="0" w:color="auto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51476DF5" w14:textId="0756E346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3C523F46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73</w:t>
            </w:r>
          </w:p>
        </w:tc>
        <w:tc>
          <w:tcPr>
            <w:tcW w:w="1407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4" w:space="0" w:color="000000" w:themeColor="text1"/>
            </w:tcBorders>
          </w:tcPr>
          <w:p w14:paraId="3A523027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4" w:space="0" w:color="A6A6A6" w:themeColor="background1" w:themeShade="A6"/>
              <w:right w:val="single" w:sz="12" w:space="0" w:color="auto"/>
            </w:tcBorders>
          </w:tcPr>
          <w:p w14:paraId="7E0E2C32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80</w:t>
            </w:r>
          </w:p>
        </w:tc>
      </w:tr>
      <w:tr w:rsidR="000C2E44" w:rsidRPr="00582AE2" w14:paraId="4A53E7F3" w14:textId="77777777" w:rsidTr="00BF1922">
        <w:trPr>
          <w:trHeight w:val="567"/>
        </w:trPr>
        <w:tc>
          <w:tcPr>
            <w:tcW w:w="4082" w:type="dxa"/>
            <w:tcBorders>
              <w:top w:val="single" w:sz="4" w:space="0" w:color="A6A6A6" w:themeColor="background1" w:themeShade="A6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CEEFBBA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  <w:rPr>
                <w:i/>
                <w:iCs/>
              </w:rPr>
            </w:pPr>
            <w:r w:rsidRPr="00393C09">
              <w:t>Insulin-</w:t>
            </w:r>
            <w:r>
              <w:t>l</w:t>
            </w:r>
            <w:r w:rsidRPr="00393C09">
              <w:t xml:space="preserve">ike </w:t>
            </w:r>
            <w:r>
              <w:t>g</w:t>
            </w:r>
            <w:r w:rsidRPr="00393C09">
              <w:t xml:space="preserve">rowth </w:t>
            </w:r>
            <w:r>
              <w:t>f</w:t>
            </w:r>
            <w:r w:rsidRPr="00393C09">
              <w:t>actor 2 mRNA-</w:t>
            </w:r>
            <w:r>
              <w:t>b</w:t>
            </w:r>
            <w:r w:rsidRPr="00393C09">
              <w:t xml:space="preserve">inding </w:t>
            </w:r>
            <w:r>
              <w:t>p</w:t>
            </w:r>
            <w:r w:rsidRPr="00393C09">
              <w:t>rotein 1</w:t>
            </w:r>
            <w:r>
              <w:t xml:space="preserve"> (</w:t>
            </w:r>
            <w:r w:rsidRPr="00162EA0">
              <w:rPr>
                <w:i/>
                <w:iCs/>
              </w:rPr>
              <w:t>IGF2BP1</w:t>
            </w:r>
            <w:r>
              <w:rPr>
                <w:i/>
                <w:iCs/>
              </w:rPr>
              <w:t>)</w:t>
            </w:r>
          </w:p>
        </w:tc>
        <w:tc>
          <w:tcPr>
            <w:tcW w:w="1412" w:type="dxa"/>
            <w:tcBorders>
              <w:top w:val="single" w:sz="4" w:space="0" w:color="A6A6A6" w:themeColor="background1" w:themeShade="A6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</w:tcPr>
          <w:p w14:paraId="373BD0F5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72</w:t>
            </w:r>
          </w:p>
        </w:tc>
        <w:tc>
          <w:tcPr>
            <w:tcW w:w="993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CCC29C3" w14:textId="2B59B5B2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  <w:tc>
          <w:tcPr>
            <w:tcW w:w="1407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</w:tcPr>
          <w:p w14:paraId="0F6AE0C1" w14:textId="77777777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  <w:r>
              <w:t>92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</w:tcPr>
          <w:p w14:paraId="123D0776" w14:textId="2B9C2929" w:rsidR="000C2E44" w:rsidRPr="00162EA0" w:rsidRDefault="000C2E44" w:rsidP="0050283A">
            <w:pPr>
              <w:pStyle w:val="MDPI42tablebody"/>
              <w:spacing w:line="360" w:lineRule="auto"/>
              <w:contextualSpacing/>
            </w:pPr>
          </w:p>
        </w:tc>
      </w:tr>
    </w:tbl>
    <w:p w14:paraId="766D6DB9" w14:textId="0EAE6E16" w:rsidR="000C2E44" w:rsidRDefault="000C2E44" w:rsidP="0050283A">
      <w:pPr>
        <w:spacing w:after="0" w:line="360" w:lineRule="auto"/>
        <w:contextualSpacing/>
      </w:pPr>
    </w:p>
    <w:sectPr w:rsidR="000C2E44" w:rsidSect="00C038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bA0MLU0tTQzMjU3tTRS0lEKTi0uzszPAykwqwUA5emfRywAAAA="/>
  </w:docVars>
  <w:rsids>
    <w:rsidRoot w:val="00AD570C"/>
    <w:rsid w:val="00053A1C"/>
    <w:rsid w:val="00066FE0"/>
    <w:rsid w:val="000C2E44"/>
    <w:rsid w:val="000F539A"/>
    <w:rsid w:val="00157AA6"/>
    <w:rsid w:val="00224D4F"/>
    <w:rsid w:val="00281BB9"/>
    <w:rsid w:val="00313E0D"/>
    <w:rsid w:val="0050283A"/>
    <w:rsid w:val="005C5736"/>
    <w:rsid w:val="006313B0"/>
    <w:rsid w:val="0084662E"/>
    <w:rsid w:val="00AD1A89"/>
    <w:rsid w:val="00AD570C"/>
    <w:rsid w:val="00B55753"/>
    <w:rsid w:val="00BD4509"/>
    <w:rsid w:val="00BF1922"/>
    <w:rsid w:val="00C038AA"/>
    <w:rsid w:val="00D335E3"/>
    <w:rsid w:val="00E3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8A1B"/>
  <w15:chartTrackingRefBased/>
  <w15:docId w15:val="{7B681963-09DC-40EC-B94B-32070F44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70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AD570C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AD570C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A49D3346B0DAB459837EBBFB682E9DE" ma:contentTypeVersion="13" ma:contentTypeDescription="Δημιουργία νέου εγγράφου" ma:contentTypeScope="" ma:versionID="32e624eee6b06710269dd15ae0411f6f">
  <xsd:schema xmlns:xsd="http://www.w3.org/2001/XMLSchema" xmlns:xs="http://www.w3.org/2001/XMLSchema" xmlns:p="http://schemas.microsoft.com/office/2006/metadata/properties" xmlns:ns3="1822a0f9-b4c6-474d-b700-d49d1720fbf3" xmlns:ns4="20f7af65-fcb5-48bc-b879-266857af472c" targetNamespace="http://schemas.microsoft.com/office/2006/metadata/properties" ma:root="true" ma:fieldsID="83cd896a5836b3259316e3f1efd5edaf" ns3:_="" ns4:_="">
    <xsd:import namespace="1822a0f9-b4c6-474d-b700-d49d1720fbf3"/>
    <xsd:import namespace="20f7af65-fcb5-48bc-b879-266857af4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a0f9-b4c6-474d-b700-d49d1720fb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Κοινή χρήση κατακερματισμού υπόδειξης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7af65-fcb5-48bc-b879-266857af4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951CF-517B-48A3-849C-2D0D2B597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A62BE-F21D-4B80-B100-7D01E004CC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AD4937-2039-4F07-897C-03096910F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2a0f9-b4c6-474d-b700-d49d1720fbf3"/>
    <ds:schemaRef ds:uri="20f7af65-fcb5-48bc-b879-266857af4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Paraskevi Karousi</dc:creator>
  <cp:keywords/>
  <dc:description/>
  <cp:lastModifiedBy>Christos Kontos</cp:lastModifiedBy>
  <cp:revision>15</cp:revision>
  <dcterms:created xsi:type="dcterms:W3CDTF">2020-11-04T05:39:00Z</dcterms:created>
  <dcterms:modified xsi:type="dcterms:W3CDTF">2020-11-17T16:55:00Z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0x010100FA49D3346B0DAB459837EBBFB682E9DE</vt:lpwstr>
  </property>
</Properties>
</file>