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AD4" w:rsidRPr="00B57AD4" w:rsidRDefault="00B57AD4" w:rsidP="00B57AD4">
      <w:pPr>
        <w:pStyle w:val="MDPI51figurecaption"/>
        <w:rPr>
          <w:b/>
          <w:lang w:val="en-GB"/>
        </w:rPr>
      </w:pPr>
      <w:r>
        <w:rPr>
          <w:noProof/>
          <w:lang w:eastAsia="zh-CN" w:bidi="ar-SA"/>
        </w:rPr>
        <w:drawing>
          <wp:inline distT="0" distB="0" distL="0" distR="0" wp14:anchorId="3A7C0840" wp14:editId="4355630E">
            <wp:extent cx="5260975" cy="1262380"/>
            <wp:effectExtent l="0" t="0" r="0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975" cy="126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69C0">
        <w:rPr>
          <w:b/>
          <w:lang w:val="en-GB"/>
        </w:rPr>
        <w:t xml:space="preserve">Figure </w:t>
      </w:r>
      <w:r>
        <w:rPr>
          <w:b/>
          <w:lang w:val="en-GB"/>
        </w:rPr>
        <w:t>S</w:t>
      </w:r>
      <w:bookmarkStart w:id="0" w:name="_GoBack"/>
      <w:bookmarkEnd w:id="0"/>
      <w:r w:rsidRPr="005669C0">
        <w:rPr>
          <w:b/>
          <w:lang w:val="en-GB"/>
        </w:rPr>
        <w:t>2.</w:t>
      </w:r>
      <w:r w:rsidRPr="005669C0">
        <w:rPr>
          <w:b/>
        </w:rPr>
        <w:t xml:space="preserve"> </w:t>
      </w:r>
      <w:r>
        <w:t>(</w:t>
      </w:r>
      <w:r w:rsidRPr="005669C0">
        <w:rPr>
          <w:b/>
          <w:bCs/>
          <w:lang w:val="en-GB"/>
        </w:rPr>
        <w:t>A</w:t>
      </w:r>
      <w:r>
        <w:rPr>
          <w:lang w:val="en-GB"/>
        </w:rPr>
        <w:t>)</w:t>
      </w:r>
      <w:r w:rsidRPr="005267F1">
        <w:rPr>
          <w:lang w:val="en-GB"/>
        </w:rPr>
        <w:t xml:space="preserve"> From left to right, the lanes are g3, standard gRNA1, standard gRNA2, standard NC, NC, and Marker.</w:t>
      </w:r>
      <w:r>
        <w:rPr>
          <w:lang w:val="en-GB"/>
        </w:rPr>
        <w:t xml:space="preserve"> (</w:t>
      </w:r>
      <w:r w:rsidRPr="005669C0">
        <w:rPr>
          <w:b/>
          <w:bCs/>
          <w:lang w:val="en-GB"/>
        </w:rPr>
        <w:t>B</w:t>
      </w:r>
      <w:r>
        <w:rPr>
          <w:lang w:val="en-GB"/>
        </w:rPr>
        <w:t>)</w:t>
      </w:r>
      <w:r w:rsidRPr="005267F1">
        <w:rPr>
          <w:lang w:val="en-GB"/>
        </w:rPr>
        <w:t xml:space="preserve"> From left to right, the lanes are g6, standard gRNA1, standard gRNA2, standard NC, NC, and Marker.</w:t>
      </w:r>
    </w:p>
    <w:p w:rsidR="00B63688" w:rsidRDefault="00B63688"/>
    <w:sectPr w:rsidR="00B63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984" w:rsidRDefault="00C56984" w:rsidP="00B57AD4">
      <w:r>
        <w:separator/>
      </w:r>
    </w:p>
  </w:endnote>
  <w:endnote w:type="continuationSeparator" w:id="0">
    <w:p w:rsidR="00C56984" w:rsidRDefault="00C56984" w:rsidP="00B5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984" w:rsidRDefault="00C56984" w:rsidP="00B57AD4">
      <w:r>
        <w:separator/>
      </w:r>
    </w:p>
  </w:footnote>
  <w:footnote w:type="continuationSeparator" w:id="0">
    <w:p w:rsidR="00C56984" w:rsidRDefault="00C56984" w:rsidP="00B57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83"/>
    <w:rsid w:val="00216783"/>
    <w:rsid w:val="00B57AD4"/>
    <w:rsid w:val="00B63688"/>
    <w:rsid w:val="00C5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536AF"/>
  <w15:chartTrackingRefBased/>
  <w15:docId w15:val="{DE064F13-2FB2-421F-881F-A88F349E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A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7A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7A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7AD4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B57AD4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2</cp:revision>
  <dcterms:created xsi:type="dcterms:W3CDTF">2020-02-01T15:53:00Z</dcterms:created>
  <dcterms:modified xsi:type="dcterms:W3CDTF">2020-02-01T15:54:00Z</dcterms:modified>
</cp:coreProperties>
</file>