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15237" w14:textId="77777777" w:rsidR="00F77C90" w:rsidRPr="008165C6" w:rsidRDefault="00F77C90" w:rsidP="008165C6">
      <w:pPr>
        <w:wordWrap/>
        <w:spacing w:line="260" w:lineRule="atLeast"/>
        <w:rPr>
          <w:rFonts w:ascii="Palatino Linotype" w:hAnsi="Palatino Linotype" w:cs="Times New Roman"/>
          <w:b/>
          <w:szCs w:val="20"/>
        </w:rPr>
      </w:pPr>
      <w:r w:rsidRPr="008165C6">
        <w:rPr>
          <w:rFonts w:ascii="Palatino Linotype" w:hAnsi="Palatino Linotype" w:cs="Times New Roman"/>
          <w:b/>
          <w:szCs w:val="20"/>
        </w:rPr>
        <w:t>Supplementary Methods</w:t>
      </w:r>
    </w:p>
    <w:p w14:paraId="419BF47A" w14:textId="3AD81B68" w:rsidR="00F77C90" w:rsidRPr="008165C6" w:rsidRDefault="00F77C90" w:rsidP="008165C6">
      <w:pPr>
        <w:wordWrap/>
        <w:spacing w:line="260" w:lineRule="atLeast"/>
        <w:rPr>
          <w:rFonts w:ascii="Palatino Linotype" w:hAnsi="Palatino Linotype" w:cs="Times New Roman"/>
          <w:i/>
          <w:szCs w:val="20"/>
        </w:rPr>
      </w:pPr>
      <w:r w:rsidRPr="008165C6">
        <w:rPr>
          <w:rFonts w:ascii="Palatino Linotype" w:hAnsi="Palatino Linotype" w:cs="Times New Roman"/>
          <w:i/>
          <w:szCs w:val="20"/>
        </w:rPr>
        <w:t xml:space="preserve">RBIV </w:t>
      </w:r>
      <w:r w:rsidR="00F059EB" w:rsidRPr="008165C6">
        <w:rPr>
          <w:rFonts w:ascii="Palatino Linotype" w:hAnsi="Palatino Linotype" w:cs="Times New Roman"/>
          <w:i/>
          <w:szCs w:val="20"/>
        </w:rPr>
        <w:t xml:space="preserve">Detection </w:t>
      </w:r>
      <w:r w:rsidRPr="008165C6">
        <w:rPr>
          <w:rFonts w:ascii="Palatino Linotype" w:hAnsi="Palatino Linotype" w:cs="Times New Roman"/>
          <w:i/>
          <w:szCs w:val="20"/>
        </w:rPr>
        <w:t xml:space="preserve">and </w:t>
      </w:r>
      <w:r w:rsidR="00F059EB" w:rsidRPr="008165C6">
        <w:rPr>
          <w:rFonts w:ascii="Palatino Linotype" w:hAnsi="Palatino Linotype" w:cs="Times New Roman"/>
          <w:i/>
          <w:szCs w:val="20"/>
        </w:rPr>
        <w:t xml:space="preserve">Quantification </w:t>
      </w:r>
      <w:r w:rsidRPr="008165C6">
        <w:rPr>
          <w:rFonts w:ascii="Palatino Linotype" w:hAnsi="Palatino Linotype" w:cs="Times New Roman"/>
          <w:i/>
          <w:szCs w:val="20"/>
        </w:rPr>
        <w:t xml:space="preserve">of </w:t>
      </w:r>
      <w:r w:rsidR="00F059EB" w:rsidRPr="008165C6">
        <w:rPr>
          <w:rFonts w:ascii="Palatino Linotype" w:hAnsi="Palatino Linotype" w:cs="Times New Roman"/>
          <w:i/>
          <w:szCs w:val="20"/>
        </w:rPr>
        <w:t xml:space="preserve">Viral Copy Number </w:t>
      </w:r>
      <w:r w:rsidRPr="008165C6">
        <w:rPr>
          <w:rFonts w:ascii="Palatino Linotype" w:hAnsi="Palatino Linotype" w:cs="Times New Roman"/>
          <w:i/>
          <w:szCs w:val="20"/>
        </w:rPr>
        <w:t xml:space="preserve">in the </w:t>
      </w:r>
      <w:r w:rsidR="00F059EB" w:rsidRPr="008165C6">
        <w:rPr>
          <w:rFonts w:ascii="Palatino Linotype" w:hAnsi="Palatino Linotype" w:cs="Times New Roman"/>
          <w:i/>
          <w:szCs w:val="20"/>
        </w:rPr>
        <w:t>Spleen</w:t>
      </w:r>
    </w:p>
    <w:p w14:paraId="16FEC6C3" w14:textId="0C3DFA25" w:rsidR="00F77C90" w:rsidRPr="008165C6" w:rsidRDefault="00F77C90" w:rsidP="00062DF5">
      <w:pPr>
        <w:wordWrap/>
        <w:spacing w:line="260" w:lineRule="atLeast"/>
        <w:ind w:firstLineChars="75" w:firstLine="150"/>
        <w:rPr>
          <w:rFonts w:ascii="Palatino Linotype" w:hAnsi="Palatino Linotype" w:cs="Times New Roman"/>
          <w:szCs w:val="20"/>
        </w:rPr>
      </w:pPr>
      <w:r w:rsidRPr="008165C6">
        <w:rPr>
          <w:rFonts w:ascii="Palatino Linotype" w:hAnsi="Palatino Linotype" w:cs="Times New Roman"/>
          <w:szCs w:val="20"/>
        </w:rPr>
        <w:t>For RBIV detection, nested PCR was performed with primer sets of M1F/M1R and M2F/M2R (Table S1</w:t>
      </w:r>
      <w:r w:rsidR="00060085">
        <w:rPr>
          <w:rFonts w:ascii="Palatino Linotype" w:hAnsi="Palatino Linotype" w:cs="Times New Roman"/>
          <w:szCs w:val="20"/>
        </w:rPr>
        <w:t>0</w:t>
      </w:r>
      <w:r w:rsidRPr="008165C6">
        <w:rPr>
          <w:rFonts w:ascii="Palatino Linotype" w:hAnsi="Palatino Linotype" w:cs="Times New Roman"/>
          <w:szCs w:val="20"/>
        </w:rPr>
        <w:t>) in a total volume of 20 µl with 1 µ</w:t>
      </w:r>
      <w:r w:rsidR="00F059EB">
        <w:rPr>
          <w:rFonts w:ascii="Palatino Linotype" w:hAnsi="Palatino Linotype" w:cs="Times New Roman"/>
          <w:szCs w:val="20"/>
        </w:rPr>
        <w:t>L</w:t>
      </w:r>
      <w:r w:rsidRPr="008165C6">
        <w:rPr>
          <w:rFonts w:ascii="Palatino Linotype" w:hAnsi="Palatino Linotype" w:cs="Times New Roman"/>
          <w:szCs w:val="20"/>
        </w:rPr>
        <w:t xml:space="preserve"> of each primer (10 pM), 2 µ</w:t>
      </w:r>
      <w:r w:rsidR="00F059EB">
        <w:rPr>
          <w:rFonts w:ascii="Palatino Linotype" w:hAnsi="Palatino Linotype" w:cs="Times New Roman"/>
          <w:szCs w:val="20"/>
        </w:rPr>
        <w:t>L</w:t>
      </w:r>
      <w:r w:rsidRPr="008165C6">
        <w:rPr>
          <w:rFonts w:ascii="Palatino Linotype" w:hAnsi="Palatino Linotype" w:cs="Times New Roman"/>
          <w:szCs w:val="20"/>
        </w:rPr>
        <w:t xml:space="preserve"> of genomic DNA (2 µ</w:t>
      </w:r>
      <w:r w:rsidR="00F059EB">
        <w:rPr>
          <w:rFonts w:ascii="Palatino Linotype" w:hAnsi="Palatino Linotype" w:cs="Times New Roman"/>
          <w:szCs w:val="20"/>
        </w:rPr>
        <w:t>L</w:t>
      </w:r>
      <w:r w:rsidRPr="008165C6">
        <w:rPr>
          <w:rFonts w:ascii="Palatino Linotype" w:hAnsi="Palatino Linotype" w:cs="Times New Roman"/>
          <w:szCs w:val="20"/>
        </w:rPr>
        <w:t xml:space="preserve"> of 1st-step PCR product in 2nd-step) from spleen, and DEPC water using a MyCycler Thermal Cycler system (BIO-RAD, CA, USA). PCR conditions were as follows: pre-denaturation at 94</w:t>
      </w:r>
      <w:r w:rsidR="00F059EB">
        <w:rPr>
          <w:rFonts w:ascii="Palatino Linotype" w:hAnsi="Palatino Linotype" w:cs="Times New Roman"/>
          <w:szCs w:val="20"/>
        </w:rPr>
        <w:t xml:space="preserve"> </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3min, 30 cycles of 94</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30</w:t>
      </w:r>
      <w:r w:rsidR="00F059EB">
        <w:rPr>
          <w:rFonts w:ascii="Palatino Linotype" w:eastAsia="Malgun Gothic" w:hAnsi="Palatino Linotype" w:cs="Times New Roman"/>
          <w:szCs w:val="20"/>
        </w:rPr>
        <w:t xml:space="preserve"> </w:t>
      </w:r>
      <w:r w:rsidRPr="008165C6">
        <w:rPr>
          <w:rFonts w:ascii="Palatino Linotype" w:eastAsia="Malgun Gothic" w:hAnsi="Palatino Linotype" w:cs="Times New Roman"/>
          <w:szCs w:val="20"/>
        </w:rPr>
        <w:t>s, annealing and extension at 72</w:t>
      </w:r>
      <w:r w:rsidR="00F059EB">
        <w:rPr>
          <w:rFonts w:ascii="Palatino Linotype" w:eastAsia="Malgun Gothic" w:hAnsi="Palatino Linotype" w:cs="Times New Roman"/>
          <w:szCs w:val="20"/>
        </w:rPr>
        <w:t xml:space="preserve"> </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30</w:t>
      </w:r>
      <w:r w:rsidR="00F059EB">
        <w:rPr>
          <w:rFonts w:ascii="Palatino Linotype" w:eastAsia="Malgun Gothic" w:hAnsi="Palatino Linotype" w:cs="Times New Roman"/>
          <w:szCs w:val="20"/>
        </w:rPr>
        <w:t xml:space="preserve"> </w:t>
      </w:r>
      <w:r w:rsidRPr="008165C6">
        <w:rPr>
          <w:rFonts w:ascii="Palatino Linotype" w:eastAsia="Malgun Gothic" w:hAnsi="Palatino Linotype" w:cs="Times New Roman"/>
          <w:szCs w:val="20"/>
        </w:rPr>
        <w:t>s, followed by post-extension for 7 min at 72</w:t>
      </w:r>
      <w:r w:rsidR="00F059EB">
        <w:rPr>
          <w:rFonts w:ascii="Palatino Linotype" w:eastAsia="Malgun Gothic" w:hAnsi="Palatino Linotype" w:cs="Times New Roman"/>
          <w:szCs w:val="20"/>
        </w:rPr>
        <w:t xml:space="preserve"> </w:t>
      </w:r>
      <w:r w:rsidRPr="008165C6">
        <w:rPr>
          <w:rFonts w:ascii="Palatino Linotype" w:hAnsi="Palatino Linotype" w:cs="Times New Roman"/>
          <w:szCs w:val="20"/>
        </w:rPr>
        <w:t xml:space="preserve">°C. </w:t>
      </w:r>
    </w:p>
    <w:p w14:paraId="13F4B732" w14:textId="63904084" w:rsidR="00F77C90" w:rsidRPr="008165C6" w:rsidRDefault="00F77C90" w:rsidP="00F059EB">
      <w:pPr>
        <w:wordWrap/>
        <w:spacing w:line="260" w:lineRule="atLeast"/>
        <w:ind w:firstLineChars="100" w:firstLine="200"/>
        <w:rPr>
          <w:rFonts w:ascii="Palatino Linotype" w:hAnsi="Palatino Linotype" w:cs="Times New Roman"/>
          <w:szCs w:val="20"/>
        </w:rPr>
      </w:pPr>
      <w:r w:rsidRPr="008165C6">
        <w:rPr>
          <w:rFonts w:ascii="Palatino Linotype" w:hAnsi="Palatino Linotype" w:cs="Times New Roman"/>
          <w:szCs w:val="20"/>
        </w:rPr>
        <w:t>We also conducted quantitative PCR to confirm viral loads in samples. As a standard, 141 bp amplicon obtained by using a primer set of qM1F and qM1R (Table S1</w:t>
      </w:r>
      <w:r w:rsidR="009060AD">
        <w:rPr>
          <w:rFonts w:ascii="Palatino Linotype" w:hAnsi="Palatino Linotype" w:cs="Times New Roman"/>
          <w:szCs w:val="20"/>
        </w:rPr>
        <w:t>0</w:t>
      </w:r>
      <w:r w:rsidRPr="008165C6">
        <w:rPr>
          <w:rFonts w:ascii="Palatino Linotype" w:hAnsi="Palatino Linotype" w:cs="Times New Roman"/>
          <w:szCs w:val="20"/>
        </w:rPr>
        <w:t xml:space="preserve">) was inserted into T-easy vector (Promega, USA). This plasmid was then transformed into </w:t>
      </w:r>
      <w:r w:rsidRPr="008165C6">
        <w:rPr>
          <w:rFonts w:ascii="Palatino Linotype" w:hAnsi="Palatino Linotype" w:cs="Times New Roman"/>
          <w:i/>
          <w:szCs w:val="20"/>
        </w:rPr>
        <w:t>Escherichia coli</w:t>
      </w:r>
      <w:r w:rsidRPr="008165C6">
        <w:rPr>
          <w:rFonts w:ascii="Palatino Linotype" w:hAnsi="Palatino Linotype" w:cs="Times New Roman"/>
          <w:szCs w:val="20"/>
        </w:rPr>
        <w:t xml:space="preserve"> DH5</w:t>
      </w:r>
      <w:r w:rsidRPr="008165C6">
        <w:rPr>
          <w:rFonts w:ascii="Palatino Linotype" w:eastAsia="Malgun Gothic" w:hAnsi="Palatino Linotype" w:cs="Times New Roman"/>
          <w:szCs w:val="20"/>
        </w:rPr>
        <w:t>α</w:t>
      </w:r>
      <w:r w:rsidRPr="008165C6">
        <w:rPr>
          <w:rFonts w:ascii="Palatino Linotype" w:hAnsi="Palatino Linotype" w:cs="Times New Roman"/>
          <w:szCs w:val="20"/>
        </w:rPr>
        <w:t>. After incubation in LB broth (Difco) at 37°C, recombinant plasmid was isolated using GeneAll Plasmid SV DNA purification kit (GeneAll, Korea). Serial 10-fold dilutions of this plasmid ranging from 10</w:t>
      </w:r>
      <w:r w:rsidRPr="008165C6">
        <w:rPr>
          <w:rFonts w:ascii="Palatino Linotype" w:hAnsi="Palatino Linotype" w:cs="Times New Roman"/>
          <w:szCs w:val="20"/>
          <w:vertAlign w:val="superscript"/>
        </w:rPr>
        <w:t>8</w:t>
      </w:r>
      <w:r w:rsidRPr="008165C6">
        <w:rPr>
          <w:rFonts w:ascii="Palatino Linotype" w:hAnsi="Palatino Linotype" w:cs="Times New Roman"/>
          <w:szCs w:val="20"/>
        </w:rPr>
        <w:t xml:space="preserve"> to 10</w:t>
      </w:r>
      <w:r w:rsidRPr="008165C6">
        <w:rPr>
          <w:rFonts w:ascii="Palatino Linotype" w:hAnsi="Palatino Linotype" w:cs="Times New Roman"/>
          <w:szCs w:val="20"/>
          <w:vertAlign w:val="superscript"/>
        </w:rPr>
        <w:t>1</w:t>
      </w:r>
      <w:r w:rsidRPr="008165C6">
        <w:rPr>
          <w:rFonts w:ascii="Palatino Linotype" w:hAnsi="Palatino Linotype" w:cs="Times New Roman"/>
          <w:szCs w:val="20"/>
        </w:rPr>
        <w:t xml:space="preserve"> copies/µl were used to generate standard curve for RBIV quantification</w:t>
      </w:r>
      <w:r w:rsidR="00194E50">
        <w:rPr>
          <w:rFonts w:ascii="Palatino Linotype" w:hAnsi="Palatino Linotype" w:cs="Times New Roman"/>
          <w:szCs w:val="20"/>
        </w:rPr>
        <w:t xml:space="preserve"> (Table S5)</w:t>
      </w:r>
      <w:r w:rsidRPr="008165C6">
        <w:rPr>
          <w:rFonts w:ascii="Palatino Linotype" w:hAnsi="Palatino Linotype" w:cs="Times New Roman"/>
          <w:szCs w:val="20"/>
        </w:rPr>
        <w:t>. To determine degree of RBIV infection in rock bream, genomic DNAs were isolated from spleen tissues using an AccuPrep Genomic DNA extraction kit (Bioneer, Korea) according to the manufacturer’s instructions. qPCRs were performed using primers qM1F and qM1R in a 20 µl reaction mixture containing 10 µl of qPCR green 2X mastermix kit (m.biotech, Korea), 2 µl of DNA template, 1 µl of each primer (10 pM), and 6 µl of DEPC water using an Exicycler 96 Real-Time Quantitative Thermal Block (Bioneer, Korea). qPCR conditions were as follows: 95</w:t>
      </w:r>
      <w:r w:rsidR="00F059EB">
        <w:rPr>
          <w:rFonts w:ascii="Palatino Linotype" w:hAnsi="Palatino Linotype" w:cs="Times New Roman"/>
          <w:szCs w:val="20"/>
        </w:rPr>
        <w:t xml:space="preserve"> </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10 min, followed by 40 cycles of 95</w:t>
      </w:r>
      <w:r w:rsidR="00F059EB">
        <w:rPr>
          <w:rFonts w:ascii="Palatino Linotype" w:eastAsia="Malgun Gothic" w:hAnsi="Palatino Linotype" w:cs="Times New Roman"/>
          <w:szCs w:val="20"/>
        </w:rPr>
        <w:t xml:space="preserve"> </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10 s, 60</w:t>
      </w:r>
      <w:r w:rsidR="00F059EB">
        <w:rPr>
          <w:rFonts w:ascii="Palatino Linotype" w:eastAsia="Malgun Gothic" w:hAnsi="Palatino Linotype" w:cs="Times New Roman"/>
          <w:szCs w:val="20"/>
        </w:rPr>
        <w:t xml:space="preserve"> </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15 s, and 72</w:t>
      </w:r>
      <w:r w:rsidR="00F059EB">
        <w:rPr>
          <w:rFonts w:ascii="Palatino Linotype" w:eastAsia="Malgun Gothic" w:hAnsi="Palatino Linotype" w:cs="Times New Roman"/>
          <w:szCs w:val="20"/>
        </w:rPr>
        <w:t xml:space="preserve"> </w:t>
      </w:r>
      <w:r w:rsidRPr="008165C6">
        <w:rPr>
          <w:rFonts w:ascii="Palatino Linotype" w:hAnsi="Palatino Linotype" w:cs="Times New Roman"/>
          <w:szCs w:val="20"/>
        </w:rPr>
        <w:t>°C</w:t>
      </w:r>
      <w:r w:rsidRPr="008165C6">
        <w:rPr>
          <w:rFonts w:ascii="Palatino Linotype" w:eastAsia="Malgun Gothic" w:hAnsi="Palatino Linotype" w:cs="Times New Roman"/>
          <w:szCs w:val="20"/>
        </w:rPr>
        <w:t xml:space="preserve"> for 20 s. Results are expressed as</w:t>
      </w:r>
      <w:r w:rsidRPr="008165C6">
        <w:rPr>
          <w:rFonts w:ascii="Palatino Linotype" w:hAnsi="Palatino Linotype" w:cs="Times New Roman"/>
          <w:szCs w:val="20"/>
        </w:rPr>
        <w:t xml:space="preserve"> viral copy number/mg of spleen.</w:t>
      </w:r>
    </w:p>
    <w:p w14:paraId="2E24A406" w14:textId="77777777" w:rsidR="00F77C90" w:rsidRPr="008165C6" w:rsidRDefault="00F77C90" w:rsidP="008165C6">
      <w:pPr>
        <w:wordWrap/>
        <w:spacing w:line="260" w:lineRule="atLeast"/>
        <w:rPr>
          <w:rFonts w:ascii="Palatino Linotype" w:hAnsi="Palatino Linotype" w:cs="Times New Roman"/>
          <w:i/>
          <w:szCs w:val="20"/>
        </w:rPr>
      </w:pPr>
      <w:r w:rsidRPr="008165C6">
        <w:rPr>
          <w:rFonts w:ascii="Palatino Linotype" w:hAnsi="Palatino Linotype" w:cs="Times New Roman"/>
          <w:i/>
          <w:szCs w:val="20"/>
        </w:rPr>
        <w:t>Experimental validation with qRT-PCR</w:t>
      </w:r>
    </w:p>
    <w:p w14:paraId="1CCF9C37" w14:textId="0899CBC5" w:rsidR="00F77C90" w:rsidRPr="008165C6" w:rsidRDefault="00F77C90" w:rsidP="00F059EB">
      <w:pPr>
        <w:wordWrap/>
        <w:spacing w:line="260" w:lineRule="atLeast"/>
        <w:ind w:firstLineChars="75" w:firstLine="150"/>
        <w:rPr>
          <w:rFonts w:ascii="Palatino Linotype" w:hAnsi="Palatino Linotype" w:cs="Times New Roman"/>
          <w:szCs w:val="20"/>
        </w:rPr>
      </w:pPr>
      <w:r w:rsidRPr="008165C6">
        <w:rPr>
          <w:rFonts w:ascii="Palatino Linotype" w:hAnsi="Palatino Linotype" w:cs="Times New Roman"/>
          <w:szCs w:val="20"/>
        </w:rPr>
        <w:t>To validate sequences generated from Hiseq2500, several immune-related genes were chosen (Table S1</w:t>
      </w:r>
      <w:r w:rsidR="00C02301">
        <w:rPr>
          <w:rFonts w:ascii="Palatino Linotype" w:hAnsi="Palatino Linotype" w:cs="Times New Roman"/>
          <w:szCs w:val="20"/>
        </w:rPr>
        <w:t>0</w:t>
      </w:r>
      <w:r w:rsidRPr="008165C6">
        <w:rPr>
          <w:rFonts w:ascii="Palatino Linotype" w:hAnsi="Palatino Linotype" w:cs="Times New Roman"/>
          <w:szCs w:val="20"/>
        </w:rPr>
        <w:t>). qRT-PCR was performed using an Exicycler3</w:t>
      </w:r>
      <w:r w:rsidRPr="008165C6">
        <w:rPr>
          <w:rFonts w:ascii="Palatino Linotype" w:hAnsi="Palatino Linotype" w:cs="Times New Roman"/>
          <w:szCs w:val="20"/>
          <w:vertAlign w:val="superscript"/>
        </w:rPr>
        <w:t>TM</w:t>
      </w:r>
      <w:r w:rsidRPr="008165C6">
        <w:rPr>
          <w:rFonts w:ascii="Palatino Linotype" w:hAnsi="Palatino Linotype" w:cs="Times New Roman"/>
          <w:szCs w:val="20"/>
        </w:rPr>
        <w:t xml:space="preserve"> 96 Real-Time Quantitative Thermal Block (Bioneer, Korea). First-strand cDNA was synthesized from 1 µg of total RNA in each sample using a PrimeScript</w:t>
      </w:r>
      <w:r w:rsidRPr="008165C6">
        <w:rPr>
          <w:rFonts w:ascii="Palatino Linotype" w:hAnsi="Palatino Linotype" w:cs="Times New Roman"/>
          <w:szCs w:val="20"/>
          <w:vertAlign w:val="superscript"/>
        </w:rPr>
        <w:t>TM</w:t>
      </w:r>
      <w:r w:rsidRPr="008165C6">
        <w:rPr>
          <w:rFonts w:ascii="Palatino Linotype" w:hAnsi="Palatino Linotype" w:cs="Times New Roman"/>
          <w:szCs w:val="20"/>
        </w:rPr>
        <w:t xml:space="preserve"> RT reagent kit (TAKARA Bio, Japan) according to the manufacturer’s instructions. Quantitative real-time PCR assay was performed as described in </w:t>
      </w:r>
      <w:r w:rsidR="00821ED3">
        <w:rPr>
          <w:rFonts w:ascii="Palatino Linotype" w:hAnsi="Palatino Linotype" w:cs="Times New Roman"/>
          <w:szCs w:val="20"/>
        </w:rPr>
        <w:t>section</w:t>
      </w:r>
      <w:r w:rsidRPr="008165C6">
        <w:rPr>
          <w:rFonts w:ascii="Palatino Linotype" w:hAnsi="Palatino Linotype" w:cs="Times New Roman"/>
          <w:szCs w:val="20"/>
        </w:rPr>
        <w:t xml:space="preserve"> </w:t>
      </w:r>
      <w:r w:rsidR="00821ED3" w:rsidRPr="00821ED3">
        <w:rPr>
          <w:rFonts w:ascii="Palatino Linotype" w:hAnsi="Palatino Linotype" w:cs="Times New Roman"/>
          <w:color w:val="000000" w:themeColor="text1"/>
          <w:szCs w:val="20"/>
        </w:rPr>
        <w:t>4.7.</w:t>
      </w:r>
    </w:p>
    <w:p w14:paraId="63A8B37C" w14:textId="77777777" w:rsidR="00F77C90" w:rsidRPr="008165C6" w:rsidRDefault="00F77C90" w:rsidP="00F059EB">
      <w:pPr>
        <w:wordWrap/>
        <w:adjustRightInd w:val="0"/>
        <w:snapToGrid w:val="0"/>
        <w:spacing w:before="120" w:after="120" w:line="260" w:lineRule="atLeast"/>
        <w:rPr>
          <w:rFonts w:ascii="Palatino Linotype" w:hAnsi="Palatino Linotype" w:cs="Times New Roman"/>
          <w:i/>
          <w:szCs w:val="20"/>
        </w:rPr>
      </w:pPr>
      <w:r w:rsidRPr="008165C6">
        <w:rPr>
          <w:rFonts w:ascii="Palatino Linotype" w:hAnsi="Palatino Linotype" w:cs="Times New Roman"/>
          <w:i/>
          <w:szCs w:val="20"/>
        </w:rPr>
        <w:t>Library construction and full-length transcript sequencing (Iso-seq)</w:t>
      </w:r>
    </w:p>
    <w:p w14:paraId="79A02A97" w14:textId="3071820C" w:rsidR="00F77C90" w:rsidRPr="00F059EB" w:rsidRDefault="00F77C90" w:rsidP="00F059EB">
      <w:pPr>
        <w:pStyle w:val="NormalWeb"/>
        <w:spacing w:before="0" w:beforeAutospacing="0" w:after="0" w:afterAutospacing="0" w:line="260" w:lineRule="atLeast"/>
        <w:ind w:firstLineChars="75" w:firstLine="150"/>
        <w:rPr>
          <w:rFonts w:ascii="Palatino Linotype" w:eastAsiaTheme="minorEastAsia" w:hAnsi="Palatino Linotype" w:cs="Times New Roman"/>
          <w:sz w:val="20"/>
          <w:szCs w:val="20"/>
        </w:rPr>
      </w:pPr>
      <w:r w:rsidRPr="008165C6">
        <w:rPr>
          <w:rFonts w:ascii="Palatino Linotype" w:eastAsiaTheme="minorEastAsia" w:hAnsi="Palatino Linotype" w:cs="Times New Roman"/>
          <w:sz w:val="20"/>
          <w:szCs w:val="20"/>
        </w:rPr>
        <w:t xml:space="preserve">Sequencing libraries were prepared according to Iso-Seq™ protocol (Pacific Biosciences, USA). Briefly, cDNA was </w:t>
      </w:r>
      <w:r w:rsidRPr="008165C6">
        <w:rPr>
          <w:rFonts w:ascii="Palatino Linotype" w:hAnsi="Palatino Linotype" w:cs="Times New Roman"/>
          <w:sz w:val="20"/>
          <w:szCs w:val="20"/>
          <w:lang w:val="en"/>
        </w:rPr>
        <w:t>synthesized according to the protocol of SMART™ cDNA Library Construction Kit (Clontech, USA)</w:t>
      </w:r>
      <w:r w:rsidRPr="008165C6">
        <w:rPr>
          <w:rFonts w:ascii="Palatino Linotype" w:eastAsiaTheme="minorEastAsia" w:hAnsi="Palatino Linotype" w:cs="Times New Roman"/>
          <w:sz w:val="20"/>
          <w:szCs w:val="20"/>
        </w:rPr>
        <w:t>. Libraries of three different sizes (1–2 kb, 2-3 kb, and 3-6 kb) were selected using a BluePippin™ Size-Selection System (Sage Science, USA), purified, end repaired, and ligated with blunt end SMRTbell adapters. Subsequently, libraries were sequenced on 9 SMRT cells using a PacBio RS II system (Pacific Biosciences, Palo Alto, CA, USA).</w:t>
      </w:r>
    </w:p>
    <w:p w14:paraId="108ED280" w14:textId="77777777" w:rsidR="00F77C90" w:rsidRPr="008165C6" w:rsidRDefault="00F77C90" w:rsidP="00F059EB">
      <w:pPr>
        <w:wordWrap/>
        <w:adjustRightInd w:val="0"/>
        <w:snapToGrid w:val="0"/>
        <w:spacing w:before="120" w:after="120" w:line="260" w:lineRule="atLeast"/>
        <w:rPr>
          <w:rFonts w:ascii="Palatino Linotype" w:eastAsia="Malgun Gothic" w:hAnsi="Palatino Linotype" w:cs="Times New Roman"/>
          <w:i/>
          <w:color w:val="000000"/>
          <w:szCs w:val="20"/>
        </w:rPr>
      </w:pPr>
      <w:r w:rsidRPr="008165C6">
        <w:rPr>
          <w:rFonts w:ascii="Palatino Linotype" w:eastAsia="Malgun Gothic" w:hAnsi="Palatino Linotype" w:cs="Times New Roman"/>
          <w:i/>
          <w:color w:val="000000"/>
          <w:szCs w:val="20"/>
        </w:rPr>
        <w:t>Clustering and CDSs prediction for Iso-Seq results</w:t>
      </w:r>
    </w:p>
    <w:p w14:paraId="54143C8E" w14:textId="669303BB" w:rsidR="00F77C90" w:rsidRPr="00F059EB" w:rsidRDefault="00F77C90" w:rsidP="00F059EB">
      <w:pPr>
        <w:wordWrap/>
        <w:spacing w:line="260" w:lineRule="atLeast"/>
        <w:ind w:firstLineChars="75" w:firstLine="150"/>
        <w:rPr>
          <w:rFonts w:ascii="Palatino Linotype" w:eastAsia="Malgun Gothic" w:hAnsi="Palatino Linotype" w:cs="Times New Roman"/>
          <w:color w:val="000000"/>
          <w:szCs w:val="20"/>
        </w:rPr>
      </w:pPr>
      <w:r w:rsidRPr="008165C6">
        <w:rPr>
          <w:rFonts w:ascii="Palatino Linotype" w:eastAsia="Malgun Gothic" w:hAnsi="Palatino Linotype" w:cs="Times New Roman"/>
          <w:color w:val="000000"/>
          <w:szCs w:val="20"/>
        </w:rPr>
        <w:t xml:space="preserve">Data processing and clustering of raw data from 9 SMRT cells were performed using SMRT® Analysis Software v2.3.0. Briefly, reads of inserts (ROI, minimum read quality of 75) were classified into full-length and non-full-length reads using Iso-Seq classify tool as the first step. For isoform-level clustering, all full-length reads were clustered and assembled into consensus sequences using iterative isoform-clustering algorithm through Iterative Clustering for Error correction (ICE) algorithm. Unpolished consensus and non-full-length reads were then polished using Quiver algorithm. Consensus sequences were clustered into high- and low- quality consensus isoforms based on clustering results of each library using CD-HIT (sequence identity ≥ 0.99) </w:t>
      </w:r>
      <w:r w:rsidR="0070040A">
        <w:rPr>
          <w:rFonts w:ascii="Palatino Linotype" w:eastAsia="Malgun Gothic" w:hAnsi="Palatino Linotype" w:cs="Times New Roman"/>
          <w:color w:val="000000"/>
          <w:szCs w:val="20"/>
        </w:rPr>
        <w:fldChar w:fldCharType="begin"/>
      </w:r>
      <w:r w:rsidR="0070040A">
        <w:rPr>
          <w:rFonts w:ascii="Palatino Linotype" w:eastAsia="Malgun Gothic" w:hAnsi="Palatino Linotype" w:cs="Times New Roman"/>
          <w:color w:val="000000"/>
          <w:szCs w:val="20"/>
        </w:rPr>
        <w:instrText xml:space="preserve"> ADDIN EN.CITE &lt;EndNote&gt;&lt;Cite&gt;&lt;Author&gt;Huang&lt;/Author&gt;&lt;Year&gt;2010&lt;/Year&gt;&lt;RecNum&gt;102&lt;/RecNum&gt;&lt;DisplayText&gt;&lt;style size="10"&gt;[1]&lt;/style&gt;&lt;/DisplayText&gt;&lt;record&gt;&lt;rec-number&gt;102&lt;/rec-number&gt;&lt;foreign-keys&gt;&lt;key app="EN" db-id="tatetaawwwe5a2ewteqxvftcfs2ae9zfxa59" timestamp="1574861366"&gt;102&lt;/key&gt;&lt;key app="ENWeb" db-id=""&gt;0&lt;/key&gt;&lt;/foreign-keys&gt;&lt;ref-type name="Journal Article"&gt;17&lt;/ref-type&gt;&lt;contributors&gt;&lt;authors&gt;&lt;author&gt;Huang, Y.&lt;/author&gt;&lt;author&gt;Niu, B.&lt;/author&gt;&lt;author&gt;Gao, Y.&lt;/author&gt;&lt;author&gt;Fu, L.&lt;/author&gt;&lt;author&gt;Li, W.&lt;/author&gt;&lt;/authors&gt;&lt;/contributors&gt;&lt;auth-address&gt;California Institute for Telecommunications and Information Technology, University of California San Diego, La Jolla, CA, USA.&lt;/auth-address&gt;&lt;titles&gt;&lt;title&gt;CD-HIT Suite: a web server for clustering and comparing biological sequences&lt;/title&gt;&lt;secondary-title&gt;Bioinformatics&lt;/secondary-title&gt;&lt;/titles&gt;&lt;periodical&gt;&lt;full-title&gt;Bioinformatics&lt;/full-title&gt;&lt;/periodical&gt;&lt;pages&gt;680-2&lt;/pages&gt;&lt;volume&gt;26&lt;/volume&gt;&lt;number&gt;5&lt;/number&gt;&lt;edition&gt;2010/01/08&lt;/edition&gt;&lt;keywords&gt;&lt;keyword&gt;Cluster Analysis&lt;/keyword&gt;&lt;keyword&gt;Computational Biology/methods&lt;/keyword&gt;&lt;keyword&gt;Databases, Genetic&lt;/keyword&gt;&lt;keyword&gt;Internet&lt;/keyword&gt;&lt;keyword&gt;Sequence Alignment&lt;/keyword&gt;&lt;keyword&gt;*Sequence Analysis&lt;/keyword&gt;&lt;keyword&gt;*Software&lt;/keyword&gt;&lt;keyword&gt;User-Computer Interface&lt;/keyword&gt;&lt;/keywords&gt;&lt;dates&gt;&lt;year&gt;2010&lt;/year&gt;&lt;pub-dates&gt;&lt;date&gt;Mar 1&lt;/date&gt;&lt;/pub-dates&gt;&lt;/dates&gt;&lt;isbn&gt;1367-4811 (Electronic)&amp;#xD;1367-4803 (Linking)&lt;/isbn&gt;&lt;accession-num&gt;20053844&lt;/accession-num&gt;&lt;urls&gt;&lt;related-urls&gt;&lt;url&gt;https://www.ncbi.nlm.nih.gov/pubmed/20053844&lt;/url&gt;&lt;/related-urls&gt;&lt;/urls&gt;&lt;custom2&gt;PMC2828112&lt;/custom2&gt;&lt;electronic-resource-num&gt;10.1093/bioinformatics/btq003&lt;/electronic-resource-num&gt;&lt;/record&gt;&lt;/Cite&gt;&lt;/EndNote&gt;</w:instrText>
      </w:r>
      <w:r w:rsidR="0070040A">
        <w:rPr>
          <w:rFonts w:ascii="Palatino Linotype" w:eastAsia="Malgun Gothic" w:hAnsi="Palatino Linotype" w:cs="Times New Roman"/>
          <w:color w:val="000000"/>
          <w:szCs w:val="20"/>
        </w:rPr>
        <w:fldChar w:fldCharType="separate"/>
      </w:r>
      <w:r w:rsidR="0070040A">
        <w:rPr>
          <w:rFonts w:ascii="Palatino Linotype" w:eastAsia="Malgun Gothic" w:hAnsi="Palatino Linotype" w:cs="Times New Roman"/>
          <w:noProof/>
          <w:color w:val="000000"/>
          <w:szCs w:val="20"/>
        </w:rPr>
        <w:t>[</w:t>
      </w:r>
      <w:r w:rsidR="007D7DDC">
        <w:rPr>
          <w:rFonts w:ascii="Palatino Linotype" w:eastAsia="Malgun Gothic" w:hAnsi="Palatino Linotype" w:cs="Times New Roman"/>
          <w:noProof/>
          <w:color w:val="000000"/>
          <w:szCs w:val="20"/>
        </w:rPr>
        <w:t>9</w:t>
      </w:r>
      <w:r w:rsidR="00166B31">
        <w:rPr>
          <w:rFonts w:ascii="Palatino Linotype" w:eastAsia="Malgun Gothic" w:hAnsi="Palatino Linotype" w:cs="Times New Roman"/>
          <w:noProof/>
          <w:color w:val="000000"/>
          <w:szCs w:val="20"/>
        </w:rPr>
        <w:t>5</w:t>
      </w:r>
      <w:r w:rsidR="0070040A">
        <w:rPr>
          <w:rFonts w:ascii="Palatino Linotype" w:eastAsia="Malgun Gothic" w:hAnsi="Palatino Linotype" w:cs="Times New Roman"/>
          <w:noProof/>
          <w:color w:val="000000"/>
          <w:szCs w:val="20"/>
        </w:rPr>
        <w:t>]</w:t>
      </w:r>
      <w:r w:rsidR="0070040A">
        <w:rPr>
          <w:rFonts w:ascii="Palatino Linotype" w:eastAsia="Malgun Gothic" w:hAnsi="Palatino Linotype" w:cs="Times New Roman"/>
          <w:color w:val="000000"/>
          <w:szCs w:val="20"/>
        </w:rPr>
        <w:fldChar w:fldCharType="end"/>
      </w:r>
      <w:r w:rsidRPr="008165C6">
        <w:rPr>
          <w:rFonts w:ascii="Palatino Linotype" w:eastAsia="Malgun Gothic" w:hAnsi="Palatino Linotype" w:cs="Times New Roman"/>
          <w:color w:val="000000"/>
          <w:szCs w:val="20"/>
        </w:rPr>
        <w:t>. Coding sequences (CDSs) were predicted with TransDecoder (</w:t>
      </w:r>
      <w:r w:rsidRPr="008165C6">
        <w:rPr>
          <w:rFonts w:ascii="Palatino Linotype" w:hAnsi="Palatino Linotype" w:cs="Times New Roman"/>
          <w:szCs w:val="20"/>
        </w:rPr>
        <w:t>http://transdecoder.github.io</w:t>
      </w:r>
      <w:r w:rsidRPr="008165C6">
        <w:rPr>
          <w:rFonts w:ascii="Palatino Linotype" w:eastAsia="Malgun Gothic" w:hAnsi="Palatino Linotype" w:cs="Times New Roman"/>
          <w:color w:val="000000"/>
          <w:szCs w:val="20"/>
        </w:rPr>
        <w:t xml:space="preserve">) </w:t>
      </w:r>
      <w:r w:rsidR="0070040A">
        <w:rPr>
          <w:rFonts w:ascii="Palatino Linotype" w:eastAsia="Malgun Gothic" w:hAnsi="Palatino Linotype" w:cs="Times New Roman"/>
          <w:color w:val="000000"/>
          <w:szCs w:val="20"/>
        </w:rPr>
        <w:fldChar w:fldCharType="begin">
          <w:fldData xml:space="preserve">PEVuZE5vdGU+PENpdGU+PEF1dGhvcj5IYWFzPC9BdXRob3I+PFllYXI+MjAxMzwvWWVhcj48UmVj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</w:fldData>
        </w:fldChar>
      </w:r>
      <w:r w:rsidR="0070040A">
        <w:rPr>
          <w:rFonts w:ascii="Palatino Linotype" w:eastAsia="Malgun Gothic" w:hAnsi="Palatino Linotype" w:cs="Times New Roman"/>
          <w:color w:val="000000"/>
          <w:szCs w:val="20"/>
        </w:rPr>
        <w:instrText xml:space="preserve"> ADDIN EN.CITE </w:instrText>
      </w:r>
      <w:r w:rsidR="0070040A">
        <w:rPr>
          <w:rFonts w:ascii="Palatino Linotype" w:eastAsia="Malgun Gothic" w:hAnsi="Palatino Linotype" w:cs="Times New Roman"/>
          <w:color w:val="000000"/>
          <w:szCs w:val="20"/>
        </w:rPr>
        <w:fldChar w:fldCharType="begin">
          <w:fldData xml:space="preserve">PEVuZE5vdGU+PENpdGU+PEF1dGhvcj5IYWFzPC9BdXRob3I+PFllYXI+MjAxMzwvWWVhcj48UmVj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</w:fldData>
        </w:fldChar>
      </w:r>
      <w:r w:rsidR="0070040A">
        <w:rPr>
          <w:rFonts w:ascii="Palatino Linotype" w:eastAsia="Malgun Gothic" w:hAnsi="Palatino Linotype" w:cs="Times New Roman"/>
          <w:color w:val="000000"/>
          <w:szCs w:val="20"/>
        </w:rPr>
        <w:instrText xml:space="preserve"> ADDIN EN.CITE.DATA </w:instrText>
      </w:r>
      <w:r w:rsidR="0070040A">
        <w:rPr>
          <w:rFonts w:ascii="Palatino Linotype" w:eastAsia="Malgun Gothic" w:hAnsi="Palatino Linotype" w:cs="Times New Roman"/>
          <w:color w:val="000000"/>
          <w:szCs w:val="20"/>
        </w:rPr>
      </w:r>
      <w:r w:rsidR="0070040A">
        <w:rPr>
          <w:rFonts w:ascii="Palatino Linotype" w:eastAsia="Malgun Gothic" w:hAnsi="Palatino Linotype" w:cs="Times New Roman"/>
          <w:color w:val="000000"/>
          <w:szCs w:val="20"/>
        </w:rPr>
        <w:fldChar w:fldCharType="end"/>
      </w:r>
      <w:r w:rsidR="0070040A">
        <w:rPr>
          <w:rFonts w:ascii="Palatino Linotype" w:eastAsia="Malgun Gothic" w:hAnsi="Palatino Linotype" w:cs="Times New Roman"/>
          <w:color w:val="000000"/>
          <w:szCs w:val="20"/>
        </w:rPr>
      </w:r>
      <w:r w:rsidR="0070040A">
        <w:rPr>
          <w:rFonts w:ascii="Palatino Linotype" w:eastAsia="Malgun Gothic" w:hAnsi="Palatino Linotype" w:cs="Times New Roman"/>
          <w:color w:val="000000"/>
          <w:szCs w:val="20"/>
        </w:rPr>
        <w:fldChar w:fldCharType="separate"/>
      </w:r>
      <w:r w:rsidR="0070040A">
        <w:rPr>
          <w:rFonts w:ascii="Palatino Linotype" w:eastAsia="Malgun Gothic" w:hAnsi="Palatino Linotype" w:cs="Times New Roman"/>
          <w:noProof/>
          <w:color w:val="000000"/>
          <w:szCs w:val="20"/>
        </w:rPr>
        <w:t>[</w:t>
      </w:r>
      <w:r w:rsidR="007D7DDC">
        <w:rPr>
          <w:rFonts w:ascii="Palatino Linotype" w:eastAsia="Malgun Gothic" w:hAnsi="Palatino Linotype" w:cs="Times New Roman"/>
          <w:noProof/>
          <w:color w:val="000000"/>
          <w:szCs w:val="20"/>
        </w:rPr>
        <w:t>9</w:t>
      </w:r>
      <w:r w:rsidR="00166B31">
        <w:rPr>
          <w:rFonts w:ascii="Palatino Linotype" w:eastAsia="Malgun Gothic" w:hAnsi="Palatino Linotype" w:cs="Times New Roman"/>
          <w:noProof/>
          <w:color w:val="000000"/>
          <w:szCs w:val="20"/>
        </w:rPr>
        <w:t>6</w:t>
      </w:r>
      <w:r w:rsidR="0070040A">
        <w:rPr>
          <w:rFonts w:ascii="Palatino Linotype" w:eastAsia="Malgun Gothic" w:hAnsi="Palatino Linotype" w:cs="Times New Roman"/>
          <w:noProof/>
          <w:color w:val="000000"/>
          <w:szCs w:val="20"/>
        </w:rPr>
        <w:t>]</w:t>
      </w:r>
      <w:r w:rsidR="0070040A">
        <w:rPr>
          <w:rFonts w:ascii="Palatino Linotype" w:eastAsia="Malgun Gothic" w:hAnsi="Palatino Linotype" w:cs="Times New Roman"/>
          <w:color w:val="000000"/>
          <w:szCs w:val="20"/>
        </w:rPr>
        <w:fldChar w:fldCharType="end"/>
      </w:r>
      <w:r w:rsidR="00F059EB">
        <w:rPr>
          <w:rFonts w:ascii="Palatino Linotype" w:eastAsia="Malgun Gothic" w:hAnsi="Palatino Linotype" w:cs="Times New Roman"/>
          <w:color w:val="000000"/>
          <w:szCs w:val="20"/>
        </w:rPr>
        <w:t>.</w:t>
      </w:r>
    </w:p>
    <w:p w14:paraId="2763F9DD" w14:textId="77777777" w:rsidR="00F77C90" w:rsidRPr="008165C6" w:rsidRDefault="00F77C90" w:rsidP="008165C6">
      <w:pPr>
        <w:wordWrap/>
        <w:spacing w:line="260" w:lineRule="atLeast"/>
        <w:rPr>
          <w:rFonts w:ascii="Palatino Linotype" w:hAnsi="Palatino Linotype" w:cs="Times New Roman"/>
          <w:i/>
          <w:szCs w:val="20"/>
        </w:rPr>
      </w:pPr>
      <w:r w:rsidRPr="008165C6">
        <w:rPr>
          <w:rFonts w:ascii="Palatino Linotype" w:hAnsi="Palatino Linotype" w:cs="Times New Roman"/>
          <w:i/>
          <w:szCs w:val="20"/>
        </w:rPr>
        <w:t>NMR experiment and data analysis</w:t>
      </w:r>
    </w:p>
    <w:p w14:paraId="508F1A4E" w14:textId="204D296C" w:rsidR="00F77C90" w:rsidRPr="00F059EB" w:rsidRDefault="00F77C90" w:rsidP="00F059EB">
      <w:pPr>
        <w:wordWrap/>
        <w:spacing w:line="260" w:lineRule="atLeast"/>
        <w:ind w:firstLineChars="75" w:firstLine="150"/>
        <w:rPr>
          <w:rFonts w:ascii="Palatino Linotype" w:hAnsi="Palatino Linotype" w:cs="Times New Roman"/>
          <w:color w:val="000000"/>
          <w:szCs w:val="20"/>
          <w:shd w:val="clear" w:color="auto" w:fill="FFFFFF"/>
        </w:rPr>
      </w:pPr>
      <w:r w:rsidRPr="008165C6">
        <w:rPr>
          <w:rFonts w:ascii="Palatino Linotype" w:hAnsi="Palatino Linotype" w:cs="Times New Roman"/>
          <w:szCs w:val="20"/>
        </w:rPr>
        <w:lastRenderedPageBreak/>
        <w:t>The spleen (~10 mg) was transferred to an NMR nano tube and 25 µL of D</w:t>
      </w:r>
      <w:r w:rsidRPr="008165C6">
        <w:rPr>
          <w:rFonts w:ascii="Palatino Linotype" w:hAnsi="Palatino Linotype" w:cs="Times New Roman"/>
          <w:szCs w:val="20"/>
          <w:vertAlign w:val="subscript"/>
        </w:rPr>
        <w:t>2</w:t>
      </w:r>
      <w:r w:rsidRPr="008165C6">
        <w:rPr>
          <w:rFonts w:ascii="Palatino Linotype" w:hAnsi="Palatino Linotype" w:cs="Times New Roman"/>
          <w:szCs w:val="20"/>
        </w:rPr>
        <w:t>O containing 2 mM TSP-d</w:t>
      </w:r>
      <w:r w:rsidRPr="008165C6">
        <w:rPr>
          <w:rFonts w:ascii="Palatino Linotype" w:hAnsi="Palatino Linotype" w:cs="Times New Roman"/>
          <w:szCs w:val="20"/>
          <w:vertAlign w:val="subscript"/>
        </w:rPr>
        <w:t xml:space="preserve">4 </w:t>
      </w:r>
      <w:r w:rsidRPr="008165C6">
        <w:rPr>
          <w:rFonts w:ascii="Palatino Linotype" w:hAnsi="Palatino Linotype" w:cs="Times New Roman"/>
          <w:szCs w:val="20"/>
        </w:rPr>
        <w:t xml:space="preserve">was added. Samples were measured using high resolution magic angle spinning nuclear magnetic resonance (HR-MAS NMR) spectroscopy. All spectra were acquired with 600.167 MHz Agilent NMR spectrometer equipped with a 4-mm gHX NanoProbe (Agilent technologies, USA) at a spinning rate of 2,000 Hz. CPMG (Carr-Purcell-Meiboom-Gill) pulse sequence was used to suppress signals from water and high molecular mass compounds. The acquisition time was 1.703 ms and the relaxation delay was 1 s. A total of 128 transients were collected. All spectra were processed and assigned using Chenomx NMR Suite 7.1 professional with the Chenomx 600 MHz library database (Chenomx Inc., Canada). Spectra were binned for multivariate statistical analysis. The binning size was 0.001 ppm. </w:t>
      </w:r>
      <w:r w:rsidRPr="008165C6">
        <w:rPr>
          <w:rFonts w:ascii="Palatino Linotype" w:hAnsi="Palatino Linotype" w:cs="Times New Roman"/>
          <w:bCs/>
          <w:color w:val="000000" w:themeColor="text1"/>
          <w:szCs w:val="20"/>
        </w:rPr>
        <w:t>Normalization</w:t>
      </w:r>
      <w:r w:rsidRPr="008165C6">
        <w:rPr>
          <w:rFonts w:ascii="Palatino Linotype" w:hAnsi="Palatino Linotype" w:cs="Times New Roman"/>
          <w:color w:val="000000" w:themeColor="text1"/>
          <w:szCs w:val="20"/>
        </w:rPr>
        <w:t xml:space="preserve"> was performed for all spectral </w:t>
      </w:r>
      <w:r w:rsidRPr="008165C6">
        <w:rPr>
          <w:rFonts w:ascii="Palatino Linotype" w:hAnsi="Palatino Linotype" w:cs="Times New Roman"/>
          <w:bCs/>
          <w:color w:val="000000" w:themeColor="text1"/>
          <w:szCs w:val="20"/>
        </w:rPr>
        <w:t xml:space="preserve">binning data </w:t>
      </w:r>
      <w:r w:rsidRPr="008165C6">
        <w:rPr>
          <w:rFonts w:ascii="Palatino Linotype" w:hAnsi="Palatino Linotype" w:cs="Times New Roman"/>
          <w:color w:val="000000" w:themeColor="text1"/>
          <w:szCs w:val="20"/>
        </w:rPr>
        <w:t xml:space="preserve">to the </w:t>
      </w:r>
      <w:r w:rsidRPr="008165C6">
        <w:rPr>
          <w:rFonts w:ascii="Palatino Linotype" w:hAnsi="Palatino Linotype" w:cs="Times New Roman"/>
          <w:bCs/>
          <w:color w:val="000000" w:themeColor="text1"/>
          <w:szCs w:val="20"/>
        </w:rPr>
        <w:t>total area</w:t>
      </w:r>
      <w:r w:rsidRPr="008165C6">
        <w:rPr>
          <w:rFonts w:ascii="Palatino Linotype" w:hAnsi="Palatino Linotype" w:cs="Times New Roman"/>
          <w:color w:val="000000" w:themeColor="text1"/>
          <w:szCs w:val="20"/>
        </w:rPr>
        <w:t xml:space="preserve"> of the NMR spectrum</w:t>
      </w:r>
      <w:r w:rsidR="00562465">
        <w:rPr>
          <w:rFonts w:ascii="Palatino Linotype" w:hAnsi="Palatino Linotype" w:cs="Times New Roman"/>
          <w:color w:val="000000" w:themeColor="text1"/>
          <w:szCs w:val="20"/>
        </w:rPr>
        <w:t xml:space="preserve">, </w:t>
      </w:r>
      <w:r w:rsidR="00562465" w:rsidRPr="00562465">
        <w:rPr>
          <w:rFonts w:ascii="Palatino Linotype" w:hAnsi="Palatino Linotype"/>
        </w:rPr>
        <w:t>and the relative concentration normalized by the sum of the absolute concentrations of the measured metabolite was used in order to reduce the variation between samples</w:t>
      </w:r>
      <w:r w:rsidR="00562465">
        <w:rPr>
          <w:rFonts w:ascii="Palatino Linotype" w:hAnsi="Palatino Linotype"/>
        </w:rPr>
        <w:t>.</w:t>
      </w:r>
      <w:r w:rsidRPr="008165C6">
        <w:rPr>
          <w:rFonts w:ascii="Palatino Linotype" w:hAnsi="Palatino Linotype" w:cs="Times New Roman"/>
          <w:color w:val="000000" w:themeColor="text1"/>
          <w:szCs w:val="20"/>
        </w:rPr>
        <w:t xml:space="preserve"> </w:t>
      </w:r>
      <w:r w:rsidRPr="008165C6">
        <w:rPr>
          <w:rFonts w:ascii="Palatino Linotype" w:hAnsi="Palatino Linotype" w:cs="Times New Roman"/>
          <w:color w:val="000000"/>
          <w:szCs w:val="20"/>
        </w:rPr>
        <w:t xml:space="preserve">Statistical analyses on each metabolite were conducted using one-way analysis of variance (ANOVA) with a Tukey’s post hoc test for multiple comparisons. All data were analyzed with SPSS 16.0 software (SPSS Inc.). </w:t>
      </w:r>
      <w:r w:rsidRPr="008165C6">
        <w:rPr>
          <w:rFonts w:ascii="Palatino Linotype" w:hAnsi="Palatino Linotype" w:cs="Times New Roman"/>
          <w:color w:val="000000"/>
          <w:szCs w:val="20"/>
          <w:shd w:val="clear" w:color="auto" w:fill="FFFFFF"/>
        </w:rPr>
        <w:t>Differences were considered signific</w:t>
      </w:r>
      <w:r w:rsidR="00F059EB">
        <w:rPr>
          <w:rFonts w:ascii="Palatino Linotype" w:hAnsi="Palatino Linotype" w:cs="Times New Roman"/>
          <w:color w:val="000000"/>
          <w:szCs w:val="20"/>
          <w:shd w:val="clear" w:color="auto" w:fill="FFFFFF"/>
        </w:rPr>
        <w:t xml:space="preserve">ant at </w:t>
      </w:r>
      <w:r w:rsidRPr="008165C6">
        <w:rPr>
          <w:rStyle w:val="Emphasis"/>
          <w:rFonts w:ascii="Palatino Linotype" w:hAnsi="Palatino Linotype" w:cs="Times New Roman"/>
          <w:color w:val="000000"/>
          <w:szCs w:val="20"/>
          <w:shd w:val="clear" w:color="auto" w:fill="FFFFFF"/>
        </w:rPr>
        <w:t>p</w:t>
      </w:r>
      <w:r w:rsidRPr="008165C6">
        <w:rPr>
          <w:rFonts w:ascii="Palatino Linotype" w:hAnsi="Palatino Linotype" w:cs="Times New Roman"/>
          <w:color w:val="000000"/>
          <w:szCs w:val="20"/>
          <w:shd w:val="clear" w:color="auto" w:fill="FFFFFF"/>
        </w:rPr>
        <w:t xml:space="preserve"> &lt; 0.05.</w:t>
      </w:r>
    </w:p>
    <w:p w14:paraId="1CF10864" w14:textId="49DDE6F8" w:rsidR="00F77C90" w:rsidRPr="008165C6" w:rsidRDefault="00F77C90" w:rsidP="008165C6">
      <w:pPr>
        <w:wordWrap/>
        <w:spacing w:line="260" w:lineRule="atLeast"/>
        <w:rPr>
          <w:rFonts w:ascii="Palatino Linotype" w:hAnsi="Palatino Linotype" w:cs="Times New Roman"/>
          <w:i/>
          <w:color w:val="000000"/>
          <w:szCs w:val="20"/>
        </w:rPr>
      </w:pPr>
      <w:r w:rsidRPr="008165C6">
        <w:rPr>
          <w:rFonts w:ascii="Palatino Linotype" w:hAnsi="Palatino Linotype" w:cs="Times New Roman"/>
          <w:i/>
          <w:color w:val="000000"/>
          <w:szCs w:val="20"/>
        </w:rPr>
        <w:t xml:space="preserve">Integration of </w:t>
      </w:r>
      <w:r w:rsidR="00F059EB" w:rsidRPr="008165C6">
        <w:rPr>
          <w:rFonts w:ascii="Palatino Linotype" w:hAnsi="Palatino Linotype" w:cs="Times New Roman"/>
          <w:i/>
          <w:color w:val="000000"/>
          <w:szCs w:val="20"/>
        </w:rPr>
        <w:t xml:space="preserve">Transcriptome </w:t>
      </w:r>
      <w:r w:rsidRPr="008165C6">
        <w:rPr>
          <w:rFonts w:ascii="Palatino Linotype" w:hAnsi="Palatino Linotype" w:cs="Times New Roman"/>
          <w:i/>
          <w:color w:val="000000"/>
          <w:szCs w:val="20"/>
        </w:rPr>
        <w:t xml:space="preserve">and </w:t>
      </w:r>
      <w:r w:rsidR="00F059EB" w:rsidRPr="008165C6">
        <w:rPr>
          <w:rFonts w:ascii="Palatino Linotype" w:hAnsi="Palatino Linotype" w:cs="Times New Roman"/>
          <w:i/>
          <w:color w:val="000000"/>
          <w:szCs w:val="20"/>
        </w:rPr>
        <w:t>Metabolite Data</w:t>
      </w:r>
    </w:p>
    <w:p w14:paraId="65DBA6F0" w14:textId="4F2F43F0" w:rsidR="00F77C90" w:rsidRPr="008165C6" w:rsidRDefault="00F77C90" w:rsidP="00F059EB">
      <w:pPr>
        <w:wordWrap/>
        <w:adjustRightInd w:val="0"/>
        <w:snapToGrid w:val="0"/>
        <w:spacing w:line="260" w:lineRule="atLeast"/>
        <w:ind w:firstLineChars="75" w:firstLine="150"/>
        <w:rPr>
          <w:rFonts w:ascii="Palatino Linotype" w:hAnsi="Palatino Linotype" w:cs="Times New Roman"/>
          <w:szCs w:val="20"/>
        </w:rPr>
      </w:pPr>
      <w:r w:rsidRPr="008165C6">
        <w:rPr>
          <w:rFonts w:ascii="Palatino Linotype" w:hAnsi="Palatino Linotype" w:cs="Times New Roman"/>
          <w:color w:val="000000"/>
          <w:szCs w:val="20"/>
        </w:rPr>
        <w:t xml:space="preserve">To understand biologically functional differences through integrating expressed genes and metabolites, web-based Integrated Molecular Pathway-Level Analysis (IMPaLA) </w:t>
      </w:r>
      <w:r w:rsidRPr="006E5821">
        <w:rPr>
          <w:rFonts w:ascii="Palatino Linotype" w:hAnsi="Palatino Linotype" w:cs="Times New Roman"/>
          <w:szCs w:val="20"/>
        </w:rPr>
        <w:t>(</w:t>
      </w:r>
      <w:r w:rsidRPr="006E5821">
        <w:rPr>
          <w:rStyle w:val="Hyperlink"/>
          <w:rFonts w:ascii="Palatino Linotype" w:hAnsi="Palatino Linotype" w:cs="Times New Roman"/>
          <w:color w:val="auto"/>
          <w:szCs w:val="20"/>
          <w:u w:val="none"/>
        </w:rPr>
        <w:t>http://impala.molgen.mpg.de</w:t>
      </w:r>
      <w:r w:rsidRPr="006E5821">
        <w:rPr>
          <w:rFonts w:ascii="Palatino Linotype" w:hAnsi="Palatino Linotype" w:cs="Times New Roman"/>
          <w:szCs w:val="20"/>
        </w:rPr>
        <w:t xml:space="preserve">) </w:t>
      </w:r>
      <w:r w:rsidR="0070040A" w:rsidRPr="006E5821">
        <w:rPr>
          <w:rFonts w:ascii="Palatino Linotype" w:hAnsi="Palatino Linotype" w:cs="Times New Roman"/>
          <w:szCs w:val="20"/>
        </w:rPr>
        <w:fldChar w:fldCharType="begin"/>
      </w:r>
      <w:r w:rsidR="0070040A" w:rsidRPr="006E5821">
        <w:rPr>
          <w:rFonts w:ascii="Palatino Linotype" w:hAnsi="Palatino Linotype" w:cs="Times New Roman"/>
          <w:szCs w:val="20"/>
        </w:rPr>
        <w:instrText xml:space="preserve"> ADDIN EN.CITE &lt;EndNote&gt;&lt;Cite&gt;&lt;Author&gt;Kamburov&lt;/Author&gt;&lt;Year&gt;2011&lt;/Year&gt;&lt;RecNum&gt;104&lt;/RecNum&gt;&lt;DisplayText&gt;&lt;style size="10"&gt;[3]&lt;/style&gt;&lt;/DisplayText&gt;&lt;record&gt;&lt;rec-number&gt;104&lt;/rec-number&gt;&lt;foreign-keys&gt;&lt;key app="EN" db-id="tatetaawwwe5a2ewteqxvftcfs2ae9zfxa59" timestamp="1574861925"&gt;104&lt;/key&gt;&lt;key app="ENWeb" db-id=""&gt;0&lt;/key&gt;&lt;/foreign-keys&gt;&lt;ref-type name="Journal Article"&gt;17&lt;/ref-type&gt;&lt;contributors&gt;&lt;authors&gt;&lt;author&gt;Kamburov, A.&lt;/author&gt;&lt;author&gt;Cavill, R.&lt;/author&gt;&lt;author&gt;Ebbels, T. M.&lt;/author&gt;&lt;author&gt;Herwig, R.&lt;/author&gt;&lt;author&gt;Keun, H. C.&lt;/author&gt;&lt;/authors&gt;&lt;/contributors&gt;&lt;auth-address&gt;Department of Vertebrate Genomics, Max Planck Institute for Molecular Genetics, Berlin, Germany. kamburov@molgen.mpg.de&lt;/auth-address&gt;&lt;titles&gt;&lt;title&gt;Integrated pathway-level analysis of transcriptomics and metabolomics data with IMPaLA&lt;/title&gt;&lt;secondary-title&gt;Bioinformatics&lt;/secondary-title&gt;&lt;/titles&gt;&lt;periodical&gt;&lt;full-title&gt;Bioinformatics&lt;/full-title&gt;&lt;/periodical&gt;&lt;pages&gt;2917-8&lt;/pages&gt;&lt;volume&gt;27&lt;/volume&gt;&lt;number&gt;20&lt;/number&gt;&lt;edition&gt;2011/09/07&lt;/edition&gt;&lt;keywords&gt;&lt;keyword&gt;Databases, Factual&lt;/keyword&gt;&lt;keyword&gt;Gene Expression Profiling/*methods&lt;/keyword&gt;&lt;keyword&gt;Internet&lt;/keyword&gt;&lt;keyword&gt;Metabolomics/*methods&lt;/keyword&gt;&lt;keyword&gt;Proteomics/methods&lt;/keyword&gt;&lt;keyword&gt;*Software&lt;/keyword&gt;&lt;/keywords&gt;&lt;dates&gt;&lt;year&gt;2011&lt;/year&gt;&lt;pub-dates&gt;&lt;date&gt;Oct 15&lt;/date&gt;&lt;/pub-dates&gt;&lt;/dates&gt;&lt;isbn&gt;1367-4811 (Electronic)&amp;#xD;1367-4803 (Linking)&lt;/isbn&gt;&lt;accession-num&gt;21893519&lt;/accession-num&gt;&lt;urls&gt;&lt;related-urls&gt;&lt;url&gt;https://www.ncbi.nlm.nih.gov/pubmed/21893519&lt;/url&gt;&lt;/related-urls&gt;&lt;/urls&gt;&lt;electronic-resource-num&gt;10.1093/bioinformatics/btr499&lt;/electronic-resource-num&gt;&lt;/record&gt;&lt;/Cite&gt;&lt;/EndNote&gt;</w:instrText>
      </w:r>
      <w:r w:rsidR="0070040A" w:rsidRPr="006E5821">
        <w:rPr>
          <w:rFonts w:ascii="Palatino Linotype" w:hAnsi="Palatino Linotype" w:cs="Times New Roman"/>
          <w:szCs w:val="20"/>
        </w:rPr>
        <w:fldChar w:fldCharType="separate"/>
      </w:r>
      <w:r w:rsidR="0070040A" w:rsidRPr="006E5821">
        <w:rPr>
          <w:rFonts w:ascii="Palatino Linotype" w:hAnsi="Palatino Linotype" w:cs="Times New Roman"/>
          <w:noProof/>
          <w:szCs w:val="20"/>
        </w:rPr>
        <w:t>[</w:t>
      </w:r>
      <w:r w:rsidR="007D7DDC" w:rsidRPr="006E5821">
        <w:rPr>
          <w:rFonts w:ascii="Palatino Linotype" w:hAnsi="Palatino Linotype" w:cs="Times New Roman"/>
          <w:noProof/>
          <w:szCs w:val="20"/>
        </w:rPr>
        <w:t>9</w:t>
      </w:r>
      <w:r w:rsidR="005D43F0" w:rsidRPr="006E5821">
        <w:rPr>
          <w:rFonts w:ascii="Palatino Linotype" w:hAnsi="Palatino Linotype" w:cs="Times New Roman"/>
          <w:noProof/>
          <w:szCs w:val="20"/>
        </w:rPr>
        <w:t>7</w:t>
      </w:r>
      <w:r w:rsidR="0070040A" w:rsidRPr="006E5821">
        <w:rPr>
          <w:rFonts w:ascii="Palatino Linotype" w:hAnsi="Palatino Linotype" w:cs="Times New Roman"/>
          <w:noProof/>
          <w:szCs w:val="20"/>
        </w:rPr>
        <w:t>]</w:t>
      </w:r>
      <w:r w:rsidR="0070040A" w:rsidRPr="006E5821">
        <w:rPr>
          <w:rFonts w:ascii="Palatino Linotype" w:hAnsi="Palatino Linotype" w:cs="Times New Roman"/>
          <w:szCs w:val="20"/>
        </w:rPr>
        <w:fldChar w:fldCharType="end"/>
      </w:r>
      <w:r w:rsidR="0070040A" w:rsidRPr="006E5821">
        <w:rPr>
          <w:rFonts w:ascii="Palatino Linotype" w:hAnsi="Palatino Linotype" w:cs="Times New Roman"/>
          <w:szCs w:val="20"/>
        </w:rPr>
        <w:t xml:space="preserve"> </w:t>
      </w:r>
      <w:r w:rsidRPr="006E5821">
        <w:rPr>
          <w:rFonts w:ascii="Palatino Linotype" w:hAnsi="Palatino Linotype" w:cs="Times New Roman"/>
          <w:szCs w:val="20"/>
        </w:rPr>
        <w:t>was performed. Since genes in each module and metabolites had different values for each group</w:t>
      </w:r>
      <w:r w:rsidRPr="008165C6">
        <w:rPr>
          <w:rFonts w:ascii="Palatino Linotype" w:hAnsi="Palatino Linotype" w:cs="Times New Roman"/>
          <w:color w:val="000000"/>
          <w:szCs w:val="20"/>
        </w:rPr>
        <w:t>, Wilcoxon pathway enrichment analysis (WEA) was performed by inputting gene symbols of DEGs and corresponding log</w:t>
      </w:r>
      <w:r w:rsidRPr="008165C6">
        <w:rPr>
          <w:rFonts w:ascii="Palatino Linotype" w:hAnsi="Palatino Linotype" w:cs="Times New Roman"/>
          <w:color w:val="000000"/>
          <w:szCs w:val="20"/>
          <w:vertAlign w:val="subscript"/>
        </w:rPr>
        <w:t>2</w:t>
      </w:r>
      <w:r w:rsidRPr="008165C6">
        <w:rPr>
          <w:rFonts w:ascii="Palatino Linotype" w:hAnsi="Palatino Linotype" w:cs="Times New Roman"/>
          <w:color w:val="000000"/>
          <w:szCs w:val="20"/>
        </w:rPr>
        <w:t xml:space="preserve">FC value for eigengenes in each module as well as metabolite names and logFC value of relative concentration for metabolite. All expression and concentration values were calculated and compared to those of the 0C group. Pathways in KEGG database among results obtained from 11 databases were chosen. It was analyzed if at least one gene and metabolite were jointed to derive integration result of genes and metabolites. </w:t>
      </w:r>
      <w:r w:rsidRPr="008165C6">
        <w:rPr>
          <w:rFonts w:ascii="Palatino Linotype" w:hAnsi="Palatino Linotype" w:cs="Times New Roman"/>
          <w:color w:val="000000" w:themeColor="text1"/>
          <w:szCs w:val="20"/>
        </w:rPr>
        <w:t>Joint p-value was less than 0.05.</w:t>
      </w:r>
      <w:r w:rsidRPr="008165C6">
        <w:rPr>
          <w:rFonts w:ascii="Palatino Linotype" w:hAnsi="Palatino Linotype" w:cs="Times New Roman"/>
          <w:szCs w:val="20"/>
        </w:rPr>
        <w:br w:type="page"/>
      </w:r>
    </w:p>
    <w:p w14:paraId="36A03163" w14:textId="77777777" w:rsidR="00F77C90" w:rsidRPr="008165C6" w:rsidRDefault="00F77C90" w:rsidP="008165C6">
      <w:pPr>
        <w:wordWrap/>
        <w:spacing w:line="260" w:lineRule="atLeast"/>
        <w:rPr>
          <w:rFonts w:ascii="Palatino Linotype" w:hAnsi="Palatino Linotype" w:cs="Times New Roman"/>
          <w:b/>
          <w:szCs w:val="20"/>
        </w:rPr>
      </w:pPr>
      <w:r w:rsidRPr="008165C6">
        <w:rPr>
          <w:rFonts w:ascii="Palatino Linotype" w:hAnsi="Palatino Linotype" w:cs="Times New Roman"/>
          <w:b/>
          <w:szCs w:val="20"/>
        </w:rPr>
        <w:lastRenderedPageBreak/>
        <w:t>Supplementary Results</w:t>
      </w:r>
    </w:p>
    <w:p w14:paraId="3A936188" w14:textId="77777777" w:rsidR="00F77C90" w:rsidRPr="008165C6" w:rsidRDefault="00F77C90" w:rsidP="008165C6">
      <w:pPr>
        <w:wordWrap/>
        <w:spacing w:line="260" w:lineRule="atLeast"/>
        <w:rPr>
          <w:rFonts w:ascii="Palatino Linotype" w:hAnsi="Palatino Linotype" w:cs="Times New Roman"/>
          <w:i/>
          <w:szCs w:val="20"/>
        </w:rPr>
      </w:pPr>
      <w:r w:rsidRPr="008165C6">
        <w:rPr>
          <w:rFonts w:ascii="Palatino Linotype" w:hAnsi="Palatino Linotype" w:cs="Times New Roman"/>
          <w:i/>
          <w:szCs w:val="20"/>
        </w:rPr>
        <w:t>Transcriptome overview</w:t>
      </w:r>
    </w:p>
    <w:p w14:paraId="0E59106B" w14:textId="6E53C7C1" w:rsidR="001702C2" w:rsidRDefault="00F77C90" w:rsidP="00F059EB">
      <w:pPr>
        <w:wordWrap/>
        <w:spacing w:line="260" w:lineRule="atLeast"/>
        <w:ind w:firstLineChars="75" w:firstLine="150"/>
        <w:rPr>
          <w:rFonts w:ascii="Palatino Linotype" w:hAnsi="Palatino Linotype" w:cs="Times New Roman"/>
          <w:szCs w:val="20"/>
        </w:rPr>
      </w:pPr>
      <w:r w:rsidRPr="008165C6">
        <w:rPr>
          <w:rFonts w:ascii="Palatino Linotype" w:hAnsi="Palatino Linotype" w:cs="Times New Roman"/>
          <w:szCs w:val="20"/>
        </w:rPr>
        <w:t>We obtained 4,395,653 raw reads from 9 SMRTcells on PacBio RS II chemistry, with a total 13,174,676,754 bases and an average length of 2,997 bases per read (Tables S</w:t>
      </w:r>
      <w:r w:rsidR="00110136">
        <w:rPr>
          <w:rFonts w:ascii="Palatino Linotype" w:hAnsi="Palatino Linotype" w:cs="Times New Roman"/>
          <w:szCs w:val="20"/>
        </w:rPr>
        <w:t>7</w:t>
      </w:r>
      <w:r w:rsidR="006E5821">
        <w:rPr>
          <w:rFonts w:ascii="Palatino Linotype" w:hAnsi="Palatino Linotype" w:cs="Times New Roman"/>
          <w:szCs w:val="20"/>
        </w:rPr>
        <w:t>A,7B</w:t>
      </w:r>
      <w:r w:rsidRPr="008165C6">
        <w:rPr>
          <w:rFonts w:ascii="Palatino Linotype" w:hAnsi="Palatino Linotype" w:cs="Times New Roman"/>
          <w:szCs w:val="20"/>
        </w:rPr>
        <w:t>). Finally, Iso-seq produced 68,211 unigenes with a total of 207,448,683 bases and an average length of 3,041 bases per read. Of these, 60,060 genes (88.05%) were annotated with top hits based on sequence homology search using BLASTx (</w:t>
      </w:r>
      <w:r w:rsidRPr="008165C6">
        <w:rPr>
          <w:rFonts w:ascii="Palatino Linotype" w:hAnsi="Palatino Linotype" w:cs="Times New Roman"/>
          <w:color w:val="000000" w:themeColor="text1"/>
          <w:szCs w:val="20"/>
        </w:rPr>
        <w:t>Table S</w:t>
      </w:r>
      <w:r w:rsidR="00110136">
        <w:rPr>
          <w:rFonts w:ascii="Palatino Linotype" w:hAnsi="Palatino Linotype" w:cs="Times New Roman"/>
          <w:color w:val="000000" w:themeColor="text1"/>
          <w:szCs w:val="20"/>
        </w:rPr>
        <w:t>7</w:t>
      </w:r>
      <w:r w:rsidR="006E5821">
        <w:rPr>
          <w:rFonts w:ascii="Palatino Linotype" w:hAnsi="Palatino Linotype" w:cs="Times New Roman"/>
          <w:color w:val="000000" w:themeColor="text1"/>
          <w:szCs w:val="20"/>
        </w:rPr>
        <w:t>C</w:t>
      </w:r>
      <w:r w:rsidRPr="008165C6">
        <w:rPr>
          <w:rFonts w:ascii="Palatino Linotype" w:hAnsi="Palatino Linotype" w:cs="Times New Roman"/>
          <w:szCs w:val="20"/>
        </w:rPr>
        <w:t>). From Illumina HiSeq 2500, an average of 5.326 Gb per sample was generated. After trimming adapter sequences and low-quality reads, an average of 84.75% from 5.30 Gb of clean reads per sample were mapped onto unigenes and approximately 78.76% were aligned with paired reads among mapped reads (Table S</w:t>
      </w:r>
      <w:r w:rsidR="00110136">
        <w:rPr>
          <w:rFonts w:ascii="Palatino Linotype" w:hAnsi="Palatino Linotype" w:cs="Times New Roman"/>
          <w:szCs w:val="20"/>
        </w:rPr>
        <w:t>8</w:t>
      </w:r>
      <w:r w:rsidR="00F059EB">
        <w:rPr>
          <w:rFonts w:ascii="Palatino Linotype" w:hAnsi="Palatino Linotype" w:cs="Times New Roman"/>
          <w:szCs w:val="20"/>
        </w:rPr>
        <w:t>).</w:t>
      </w:r>
    </w:p>
    <w:p w14:paraId="09D791D2" w14:textId="77777777" w:rsidR="001702C2" w:rsidRPr="008165C6" w:rsidRDefault="001702C2" w:rsidP="001702C2">
      <w:pPr>
        <w:wordWrap/>
        <w:spacing w:line="260" w:lineRule="atLeast"/>
        <w:rPr>
          <w:rFonts w:ascii="Palatino Linotype" w:hAnsi="Palatino Linotype" w:cs="Times New Roman"/>
          <w:i/>
          <w:szCs w:val="20"/>
        </w:rPr>
      </w:pPr>
      <w:r w:rsidRPr="008165C6">
        <w:rPr>
          <w:rFonts w:ascii="Palatino Linotype" w:hAnsi="Palatino Linotype" w:cs="Times New Roman"/>
          <w:i/>
          <w:szCs w:val="20"/>
        </w:rPr>
        <w:t>Validation by qPCR</w:t>
      </w:r>
    </w:p>
    <w:p w14:paraId="182AA5C6" w14:textId="759C7C71" w:rsidR="00E57035" w:rsidRDefault="001702C2" w:rsidP="001702C2">
      <w:pPr>
        <w:widowControl/>
        <w:wordWrap/>
        <w:autoSpaceDE/>
        <w:autoSpaceDN/>
        <w:spacing w:line="260" w:lineRule="atLeast"/>
        <w:rPr>
          <w:rFonts w:ascii="Palatino Linotype" w:hAnsi="Palatino Linotype" w:cs="Times New Roman"/>
          <w:szCs w:val="20"/>
        </w:rPr>
      </w:pPr>
      <w:r w:rsidRPr="008165C6">
        <w:rPr>
          <w:rFonts w:ascii="Palatino Linotype" w:hAnsi="Palatino Linotype" w:cs="Times New Roman"/>
          <w:szCs w:val="20"/>
        </w:rPr>
        <w:t xml:space="preserve">We compared expression levels of four immune-related genes (IRF4, IL-1β, C1qAL, and HSP70-1) among genes derived from </w:t>
      </w:r>
      <w:r w:rsidRPr="008165C6">
        <w:rPr>
          <w:rFonts w:ascii="Palatino Linotype" w:hAnsi="Palatino Linotype" w:cs="Times New Roman"/>
          <w:i/>
          <w:szCs w:val="20"/>
        </w:rPr>
        <w:t xml:space="preserve">Oplegnathus fasciatus </w:t>
      </w:r>
      <w:r w:rsidRPr="008165C6">
        <w:rPr>
          <w:rFonts w:ascii="Palatino Linotype" w:hAnsi="Palatino Linotype" w:cs="Times New Roman"/>
          <w:szCs w:val="20"/>
        </w:rPr>
        <w:t>that were annotated with BLASTx. Figure S</w:t>
      </w:r>
      <w:r>
        <w:rPr>
          <w:rFonts w:ascii="Palatino Linotype" w:hAnsi="Palatino Linotype" w:cs="Times New Roman"/>
          <w:szCs w:val="20"/>
        </w:rPr>
        <w:t>4</w:t>
      </w:r>
      <w:r w:rsidRPr="008165C6">
        <w:rPr>
          <w:rFonts w:ascii="Palatino Linotype" w:hAnsi="Palatino Linotype" w:cs="Times New Roman"/>
          <w:szCs w:val="20"/>
        </w:rPr>
        <w:t xml:space="preserve"> demonstrates that RNA-seq and qPCR data are very similar, indicating that expression </w:t>
      </w:r>
      <w:r>
        <w:rPr>
          <w:rFonts w:ascii="Palatino Linotype" w:hAnsi="Palatino Linotype" w:cs="Times New Roman"/>
          <w:szCs w:val="20"/>
        </w:rPr>
        <w:t>profiles are reliable.</w:t>
      </w:r>
    </w:p>
    <w:p w14:paraId="37266024" w14:textId="77777777" w:rsidR="00F77C90" w:rsidRPr="008165C6" w:rsidRDefault="00F77C90" w:rsidP="008165C6">
      <w:pPr>
        <w:wordWrap/>
        <w:spacing w:line="260" w:lineRule="atLeast"/>
        <w:rPr>
          <w:rFonts w:ascii="Palatino Linotype" w:hAnsi="Palatino Linotype" w:cs="Times New Roman"/>
          <w:i/>
          <w:szCs w:val="20"/>
        </w:rPr>
      </w:pPr>
      <w:r w:rsidRPr="008165C6">
        <w:rPr>
          <w:rFonts w:ascii="Palatino Linotype" w:hAnsi="Palatino Linotype" w:cs="Times New Roman"/>
          <w:i/>
          <w:szCs w:val="20"/>
        </w:rPr>
        <w:t>NMR-based metabolomics and integrated analysis with transcriptome and metabolome</w:t>
      </w:r>
    </w:p>
    <w:p w14:paraId="56431C4B" w14:textId="619DEC05" w:rsidR="00F77C90" w:rsidRPr="008165C6" w:rsidRDefault="00F77C90" w:rsidP="00287CF0">
      <w:pPr>
        <w:wordWrap/>
        <w:spacing w:line="260" w:lineRule="atLeast"/>
        <w:ind w:firstLineChars="75" w:firstLine="157"/>
        <w:rPr>
          <w:rFonts w:ascii="Palatino Linotype" w:eastAsia="Batang" w:hAnsi="Palatino Linotype" w:cs="Times New Roman"/>
          <w:szCs w:val="20"/>
        </w:rPr>
      </w:pPr>
      <w:r w:rsidRPr="008165C6">
        <w:rPr>
          <w:rFonts w:ascii="Palatino Linotype" w:eastAsia="Batang" w:hAnsi="Palatino Linotype" w:cs="Times New Roman"/>
          <w:szCs w:val="20"/>
        </w:rPr>
        <w:t>Normalized spectra of spleen were subjected to orthogonal partial least-squares discriminate analysis (OPLS-DA) to differentiate between groups (Figure S</w:t>
      </w:r>
      <w:r w:rsidR="00287CF0">
        <w:rPr>
          <w:rFonts w:ascii="Palatino Linotype" w:eastAsia="Batang" w:hAnsi="Palatino Linotype" w:cs="Times New Roman"/>
          <w:szCs w:val="20"/>
        </w:rPr>
        <w:t>2</w:t>
      </w:r>
      <w:r w:rsidR="00A23443">
        <w:rPr>
          <w:rFonts w:ascii="Palatino Linotype" w:eastAsia="Batang" w:hAnsi="Palatino Linotype" w:cs="Times New Roman"/>
          <w:szCs w:val="20"/>
        </w:rPr>
        <w:t>A</w:t>
      </w:r>
      <w:r w:rsidRPr="008165C6">
        <w:rPr>
          <w:rFonts w:ascii="Palatino Linotype" w:eastAsia="Batang" w:hAnsi="Palatino Linotype" w:cs="Times New Roman"/>
          <w:szCs w:val="20"/>
        </w:rPr>
        <w:t>). Metabolic profiles of the spleen were classified according to the degree of infection. Groups 0C and 3C were clustered in the negative area of t</w:t>
      </w:r>
      <w:r w:rsidR="00A23443">
        <w:rPr>
          <w:rFonts w:ascii="Palatino Linotype" w:eastAsia="Batang" w:hAnsi="Palatino Linotype" w:cs="Times New Roman"/>
          <w:szCs w:val="20"/>
        </w:rPr>
        <w:t xml:space="preserve"> </w:t>
      </w:r>
      <w:r w:rsidRPr="008165C6">
        <w:rPr>
          <w:rFonts w:ascii="Palatino Linotype" w:eastAsia="Batang" w:hAnsi="Palatino Linotype" w:cs="Times New Roman"/>
          <w:szCs w:val="20"/>
        </w:rPr>
        <w:t>[1] while groups 0H and 0MH were clustered in the po</w:t>
      </w:r>
      <w:r w:rsidR="00291ABD">
        <w:rPr>
          <w:rFonts w:ascii="Palatino Linotype" w:eastAsia="Batang" w:hAnsi="Palatino Linotype" w:cs="Times New Roman"/>
          <w:szCs w:val="20"/>
        </w:rPr>
        <w:t>sitive area of t</w:t>
      </w:r>
      <w:r w:rsidR="00A23443">
        <w:rPr>
          <w:rFonts w:ascii="Palatino Linotype" w:eastAsia="Batang" w:hAnsi="Palatino Linotype" w:cs="Times New Roman"/>
          <w:szCs w:val="20"/>
        </w:rPr>
        <w:t xml:space="preserve"> </w:t>
      </w:r>
      <w:bookmarkStart w:id="0" w:name="_GoBack"/>
      <w:bookmarkEnd w:id="0"/>
      <w:r w:rsidR="00291ABD">
        <w:rPr>
          <w:rFonts w:ascii="Palatino Linotype" w:eastAsia="Batang" w:hAnsi="Palatino Linotype" w:cs="Times New Roman"/>
          <w:szCs w:val="20"/>
        </w:rPr>
        <w:t>[1]. Spots of 3L</w:t>
      </w:r>
      <w:r w:rsidRPr="008165C6">
        <w:rPr>
          <w:rFonts w:ascii="Palatino Linotype" w:eastAsia="Batang" w:hAnsi="Palatino Linotype" w:cs="Times New Roman"/>
          <w:szCs w:val="20"/>
        </w:rPr>
        <w:t xml:space="preserve"> group were located in the negative area of t</w:t>
      </w:r>
      <w:r w:rsidR="00F059EB">
        <w:rPr>
          <w:rFonts w:ascii="Palatino Linotype" w:eastAsia="Batang" w:hAnsi="Palatino Linotype" w:cs="Times New Roman"/>
          <w:szCs w:val="20"/>
        </w:rPr>
        <w:t xml:space="preserve"> </w:t>
      </w:r>
      <w:r w:rsidRPr="008165C6">
        <w:rPr>
          <w:rFonts w:ascii="Palatino Linotype" w:eastAsia="Batang" w:hAnsi="Palatino Linotype" w:cs="Times New Roman"/>
          <w:szCs w:val="20"/>
        </w:rPr>
        <w:t>[1] with two control groups, but distinguished from control groups by clustering in the positive area of t</w:t>
      </w:r>
      <w:r w:rsidR="00F059EB">
        <w:rPr>
          <w:rFonts w:ascii="Palatino Linotype" w:eastAsia="Batang" w:hAnsi="Palatino Linotype" w:cs="Times New Roman"/>
          <w:szCs w:val="20"/>
        </w:rPr>
        <w:t xml:space="preserve"> </w:t>
      </w:r>
      <w:r w:rsidRPr="008165C6">
        <w:rPr>
          <w:rFonts w:ascii="Palatino Linotype" w:eastAsia="Batang" w:hAnsi="Palatino Linotype" w:cs="Times New Roman"/>
          <w:szCs w:val="20"/>
        </w:rPr>
        <w:t>[2]. This pattern clearly indicated different metabolite changes between heavy infection groups and control groups. The recovery group also differed from heavy infection groups and control groups. Eleven metabolites recorded good scores (&gt; 1.0) of variable influence on projection (VIP). Thus, they were considered as significant contributors to differences in the PLSDA model (Figure S</w:t>
      </w:r>
      <w:r w:rsidR="008021EE">
        <w:rPr>
          <w:rFonts w:ascii="Palatino Linotype" w:eastAsia="Batang" w:hAnsi="Palatino Linotype" w:cs="Times New Roman"/>
          <w:szCs w:val="20"/>
        </w:rPr>
        <w:t>2</w:t>
      </w:r>
      <w:r w:rsidR="00A23443">
        <w:rPr>
          <w:rFonts w:ascii="Palatino Linotype" w:eastAsia="Batang" w:hAnsi="Palatino Linotype" w:cs="Times New Roman"/>
          <w:szCs w:val="20"/>
        </w:rPr>
        <w:t>B</w:t>
      </w:r>
      <w:r w:rsidRPr="008165C6">
        <w:rPr>
          <w:rFonts w:ascii="Palatino Linotype" w:eastAsia="Batang" w:hAnsi="Palatino Linotype" w:cs="Times New Roman"/>
          <w:szCs w:val="20"/>
        </w:rPr>
        <w:t xml:space="preserve">). </w:t>
      </w:r>
    </w:p>
    <w:p w14:paraId="67A15391" w14:textId="77777777" w:rsidR="00F77C90" w:rsidRPr="008165C6" w:rsidRDefault="00F77C90" w:rsidP="008165C6">
      <w:pPr>
        <w:wordWrap/>
        <w:spacing w:line="260" w:lineRule="atLeast"/>
        <w:ind w:firstLineChars="100" w:firstLine="210"/>
        <w:rPr>
          <w:rFonts w:ascii="Palatino Linotype" w:eastAsia="Batang" w:hAnsi="Palatino Linotype" w:cs="Times New Roman"/>
          <w:szCs w:val="20"/>
        </w:rPr>
      </w:pPr>
      <w:r w:rsidRPr="008165C6">
        <w:rPr>
          <w:rFonts w:ascii="Palatino Linotype" w:eastAsia="Batang" w:hAnsi="Palatino Linotype" w:cs="Times New Roman"/>
          <w:szCs w:val="20"/>
        </w:rPr>
        <w:t>To investigate significant differences in metabolites of each group, relative concentrations of 33 metabolites were determined (Figure S</w:t>
      </w:r>
      <w:r w:rsidR="00BE1271">
        <w:rPr>
          <w:rFonts w:ascii="Palatino Linotype" w:eastAsia="Batang" w:hAnsi="Palatino Linotype" w:cs="Times New Roman"/>
          <w:szCs w:val="20"/>
        </w:rPr>
        <w:t>3</w:t>
      </w:r>
      <w:r w:rsidRPr="008165C6">
        <w:rPr>
          <w:rFonts w:ascii="Palatino Linotype" w:eastAsia="Batang" w:hAnsi="Palatino Linotype" w:cs="Times New Roman"/>
          <w:szCs w:val="20"/>
        </w:rPr>
        <w:t xml:space="preserve">). Lactate and taurine accounted for the highest proportions in all groups. Significant differences included </w:t>
      </w:r>
      <w:r w:rsidRPr="008165C6">
        <w:rPr>
          <w:rFonts w:ascii="Palatino Linotype" w:hAnsi="Palatino Linotype" w:cs="Times New Roman"/>
          <w:szCs w:val="20"/>
        </w:rPr>
        <w:t xml:space="preserve">betaine, glutathione, guanosine, inosine, and taurine in 0C group, inosine, O-phosphocholine, </w:t>
      </w:r>
      <w:r w:rsidRPr="008165C6">
        <w:rPr>
          <w:rFonts w:ascii="Palatino Linotype" w:hAnsi="Palatino Linotype" w:cs="Times New Roman"/>
          <w:i/>
          <w:szCs w:val="20"/>
        </w:rPr>
        <w:t>myo</w:t>
      </w:r>
      <w:r w:rsidRPr="008165C6">
        <w:rPr>
          <w:rFonts w:ascii="Palatino Linotype" w:hAnsi="Palatino Linotype" w:cs="Times New Roman"/>
          <w:szCs w:val="20"/>
        </w:rPr>
        <w:t>-inositol, and taurine in 3C group, and taurine in 3</w:t>
      </w:r>
      <w:r w:rsidR="00291ABD">
        <w:rPr>
          <w:rFonts w:ascii="Palatino Linotype" w:hAnsi="Palatino Linotype" w:cs="Times New Roman"/>
          <w:szCs w:val="20"/>
        </w:rPr>
        <w:t>L</w:t>
      </w:r>
      <w:r w:rsidRPr="008165C6">
        <w:rPr>
          <w:rFonts w:ascii="Palatino Linotype" w:hAnsi="Palatino Linotype" w:cs="Times New Roman"/>
          <w:szCs w:val="20"/>
        </w:rPr>
        <w:t xml:space="preserve"> group. Alanine, 2-oxoisocaproate, ethanolamine, fumarate, isoleucine, methionine, ornithine, glutamine, threonine, and valine in 0H group and </w:t>
      </w:r>
      <w:r w:rsidRPr="008165C6">
        <w:rPr>
          <w:rFonts w:ascii="Palatino Linotype" w:eastAsia="Batang" w:hAnsi="Palatino Linotype" w:cs="Times New Roman"/>
          <w:szCs w:val="20"/>
        </w:rPr>
        <w:t>acetate, fumarate, and lactate in 0MH group were also significantly different.</w:t>
      </w:r>
      <w:r w:rsidRPr="008165C6">
        <w:rPr>
          <w:rFonts w:ascii="Palatino Linotype" w:eastAsia="Batang" w:hAnsi="Palatino Linotype" w:cs="Times New Roman"/>
          <w:color w:val="A6A6A6" w:themeColor="background1" w:themeShade="A6"/>
          <w:szCs w:val="20"/>
        </w:rPr>
        <w:t xml:space="preserve"> </w:t>
      </w:r>
      <w:r w:rsidRPr="008165C6">
        <w:rPr>
          <w:rFonts w:ascii="Palatino Linotype" w:eastAsia="Batang" w:hAnsi="Palatino Linotype" w:cs="Times New Roman"/>
          <w:szCs w:val="20"/>
        </w:rPr>
        <w:t>By combining these results,</w:t>
      </w:r>
      <w:r w:rsidRPr="008165C6">
        <w:rPr>
          <w:rFonts w:ascii="Palatino Linotype" w:eastAsia="Batang" w:hAnsi="Palatino Linotype" w:cs="Times New Roman"/>
          <w:color w:val="000000" w:themeColor="text1"/>
          <w:szCs w:val="20"/>
        </w:rPr>
        <w:t xml:space="preserve"> 2-oxoisocaproate, alanine, acetate, fumarate, and lactate concentrations were elevated while betaine, glutathione, guanosine, and inosine concentrations were reduced in heavily infected groups than those in other groups, suggesting that these changes of metabolites might contribute to differences between groups. </w:t>
      </w:r>
    </w:p>
    <w:p w14:paraId="330FD837" w14:textId="77777777" w:rsidR="00F77C90" w:rsidRPr="008165C6" w:rsidRDefault="00F77C90" w:rsidP="008165C6">
      <w:pPr>
        <w:wordWrap/>
        <w:spacing w:line="260" w:lineRule="atLeast"/>
        <w:ind w:firstLineChars="200" w:firstLine="420"/>
        <w:rPr>
          <w:rFonts w:ascii="Palatino Linotype" w:eastAsia="Batang" w:hAnsi="Palatino Linotype" w:cs="Times New Roman"/>
          <w:szCs w:val="20"/>
        </w:rPr>
      </w:pPr>
      <w:r w:rsidRPr="008165C6">
        <w:rPr>
          <w:rFonts w:ascii="Palatino Linotype" w:eastAsia="Batang" w:hAnsi="Palatino Linotype" w:cs="Times New Roman"/>
          <w:szCs w:val="20"/>
        </w:rPr>
        <w:t xml:space="preserve">As a result of over-representation pathway analysis (ORA) of 33 metabolites carried out with IMPaLA, 56 pathways satisfying </w:t>
      </w:r>
      <w:r w:rsidRPr="008165C6">
        <w:rPr>
          <w:rFonts w:ascii="Palatino Linotype" w:eastAsia="Batang" w:hAnsi="Palatino Linotype" w:cs="Times New Roman"/>
          <w:i/>
          <w:szCs w:val="20"/>
        </w:rPr>
        <w:t>p</w:t>
      </w:r>
      <w:r w:rsidRPr="008165C6">
        <w:rPr>
          <w:rFonts w:ascii="Palatino Linotype" w:eastAsia="Batang" w:hAnsi="Palatino Linotype" w:cs="Times New Roman"/>
          <w:szCs w:val="20"/>
        </w:rPr>
        <w:t>-value &lt; 0.05 in KEGG database are shown in Table S</w:t>
      </w:r>
      <w:r w:rsidR="004C393D">
        <w:rPr>
          <w:rFonts w:ascii="Palatino Linotype" w:eastAsia="Batang" w:hAnsi="Palatino Linotype" w:cs="Times New Roman"/>
          <w:szCs w:val="20"/>
        </w:rPr>
        <w:t>3</w:t>
      </w:r>
      <w:r w:rsidRPr="008165C6">
        <w:rPr>
          <w:rFonts w:ascii="Palatino Linotype" w:eastAsia="Batang" w:hAnsi="Palatino Linotype" w:cs="Times New Roman"/>
          <w:color w:val="000000" w:themeColor="text1"/>
          <w:szCs w:val="20"/>
        </w:rPr>
        <w:t>. Analyzed metabolites were associated with central carbon metabolism in cancer, protein digestion and absorption, ABC transporters, mineral absorption pathway, and aminoacyl-tRNA biosynthesis (Table S</w:t>
      </w:r>
      <w:r w:rsidR="003D30E3">
        <w:rPr>
          <w:rFonts w:ascii="Palatino Linotype" w:eastAsia="Batang" w:hAnsi="Palatino Linotype" w:cs="Times New Roman"/>
          <w:color w:val="000000" w:themeColor="text1"/>
          <w:szCs w:val="20"/>
        </w:rPr>
        <w:t>3</w:t>
      </w:r>
      <w:r w:rsidRPr="008165C6">
        <w:rPr>
          <w:rFonts w:ascii="Palatino Linotype" w:eastAsia="Batang" w:hAnsi="Palatino Linotype" w:cs="Times New Roman"/>
          <w:color w:val="000000" w:themeColor="text1"/>
          <w:szCs w:val="20"/>
        </w:rPr>
        <w:t xml:space="preserve">). All results showed only pathways related to metabolism. </w:t>
      </w:r>
    </w:p>
    <w:p w14:paraId="0173A7A5" w14:textId="3AE4F56B" w:rsidR="000305DD" w:rsidRPr="00F059EB" w:rsidRDefault="00F77C90" w:rsidP="00F059EB">
      <w:pPr>
        <w:wordWrap/>
        <w:spacing w:line="260" w:lineRule="atLeast"/>
        <w:ind w:firstLineChars="200" w:firstLine="420"/>
        <w:rPr>
          <w:rFonts w:ascii="Palatino Linotype" w:hAnsi="Palatino Linotype" w:cs="Times New Roman"/>
          <w:szCs w:val="20"/>
        </w:rPr>
      </w:pPr>
      <w:r w:rsidRPr="008165C6">
        <w:rPr>
          <w:rFonts w:ascii="Palatino Linotype" w:eastAsia="Batang" w:hAnsi="Palatino Linotype" w:cs="Times New Roman"/>
          <w:szCs w:val="20"/>
        </w:rPr>
        <w:t xml:space="preserve">We employed WEA method to reflect each fold change for each group compared to 0C and confirmed differences between groups when genes in each module and metabolites were integrated. Among KEGG pathways analyzed with a joint </w:t>
      </w:r>
      <w:r w:rsidRPr="008165C6">
        <w:rPr>
          <w:rFonts w:ascii="Palatino Linotype" w:eastAsia="Batang" w:hAnsi="Palatino Linotype" w:cs="Times New Roman"/>
          <w:i/>
          <w:szCs w:val="20"/>
        </w:rPr>
        <w:t>p</w:t>
      </w:r>
      <w:r w:rsidRPr="008165C6">
        <w:rPr>
          <w:rFonts w:ascii="Palatino Linotype" w:eastAsia="Batang" w:hAnsi="Palatino Linotype" w:cs="Times New Roman"/>
          <w:szCs w:val="20"/>
        </w:rPr>
        <w:t xml:space="preserve">-value &lt; 0.05, only two pathways with </w:t>
      </w:r>
      <w:r w:rsidRPr="008165C6">
        <w:rPr>
          <w:rFonts w:ascii="Palatino Linotype" w:eastAsia="Batang" w:hAnsi="Palatino Linotype" w:cs="Times New Roman"/>
          <w:i/>
          <w:szCs w:val="20"/>
        </w:rPr>
        <w:t>p</w:t>
      </w:r>
      <w:r w:rsidRPr="008165C6">
        <w:rPr>
          <w:rFonts w:ascii="Palatino Linotype" w:eastAsia="Batang" w:hAnsi="Palatino Linotype" w:cs="Times New Roman"/>
          <w:szCs w:val="20"/>
        </w:rPr>
        <w:t xml:space="preserve">-value &lt; 0.05 in both transcriptome and metabolite pathway results were found: aminoacyl-tRNA biosynthesis and </w:t>
      </w:r>
      <w:r w:rsidRPr="008165C6">
        <w:rPr>
          <w:rFonts w:ascii="Palatino Linotype" w:eastAsia="Batang" w:hAnsi="Palatino Linotype" w:cs="Times New Roman"/>
          <w:szCs w:val="20"/>
        </w:rPr>
        <w:lastRenderedPageBreak/>
        <w:t>central carbon metabolism in cancer in Turquoise and protein digestion and absorption in Blue (Table S</w:t>
      </w:r>
      <w:r w:rsidR="00207345">
        <w:rPr>
          <w:rFonts w:ascii="Palatino Linotype" w:eastAsia="Batang" w:hAnsi="Palatino Linotype" w:cs="Times New Roman"/>
          <w:szCs w:val="20"/>
        </w:rPr>
        <w:t>4</w:t>
      </w:r>
      <w:r w:rsidR="00F059EB">
        <w:rPr>
          <w:rFonts w:ascii="Palatino Linotype" w:eastAsia="Batang" w:hAnsi="Palatino Linotype" w:cs="Times New Roman"/>
          <w:szCs w:val="20"/>
        </w:rPr>
        <w:t>).</w:t>
      </w:r>
      <w:bookmarkStart w:id="1" w:name="noRef"/>
      <w:bookmarkEnd w:id="1"/>
    </w:p>
    <w:sectPr w:rsidR="000305DD" w:rsidRPr="00F059EB" w:rsidSect="0017669E">
      <w:pgSz w:w="11906" w:h="16838"/>
      <w:pgMar w:top="1701" w:right="1440" w:bottom="1440" w:left="1440" w:header="851" w:footer="992" w:gutter="0"/>
      <w:lnNumType w:countBy="1" w:restart="continuou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8E341" w14:textId="77777777" w:rsidR="00973014" w:rsidRDefault="00973014" w:rsidP="00AE222C">
      <w:pPr>
        <w:spacing w:after="0" w:line="240" w:lineRule="auto"/>
      </w:pPr>
      <w:r>
        <w:separator/>
      </w:r>
    </w:p>
  </w:endnote>
  <w:endnote w:type="continuationSeparator" w:id="0">
    <w:p w14:paraId="6C2B9573" w14:textId="77777777" w:rsidR="00973014" w:rsidRDefault="00973014" w:rsidP="00AE2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altName w:val="Malgun Gothic Semilight"/>
    <w:panose1 w:val="020B0600000101010101"/>
    <w:charset w:val="81"/>
    <w:family w:val="modern"/>
    <w:pitch w:val="variable"/>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7ED49" w14:textId="77777777" w:rsidR="00973014" w:rsidRDefault="00973014" w:rsidP="00AE222C">
      <w:pPr>
        <w:spacing w:after="0" w:line="240" w:lineRule="auto"/>
      </w:pPr>
      <w:r>
        <w:separator/>
      </w:r>
    </w:p>
  </w:footnote>
  <w:footnote w:type="continuationSeparator" w:id="0">
    <w:p w14:paraId="075F2ADF" w14:textId="77777777" w:rsidR="00973014" w:rsidRDefault="00973014" w:rsidP="00AE22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DPI&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tetaawwwe5a2ewteqxvftcfs2ae9zfxa59&quot;&gt;RB-WGCNA&lt;record-ids&gt;&lt;item&gt;102&lt;/item&gt;&lt;item&gt;103&lt;/item&gt;&lt;item&gt;104&lt;/item&gt;&lt;/record-ids&gt;&lt;/item&gt;&lt;/Libraries&gt;"/>
  </w:docVars>
  <w:rsids>
    <w:rsidRoot w:val="00F77C90"/>
    <w:rsid w:val="000305DD"/>
    <w:rsid w:val="00060085"/>
    <w:rsid w:val="00062DF5"/>
    <w:rsid w:val="00110136"/>
    <w:rsid w:val="00166B31"/>
    <w:rsid w:val="001702C2"/>
    <w:rsid w:val="0017669E"/>
    <w:rsid w:val="00194E50"/>
    <w:rsid w:val="00207345"/>
    <w:rsid w:val="00287CF0"/>
    <w:rsid w:val="00291ABD"/>
    <w:rsid w:val="00296911"/>
    <w:rsid w:val="002E2648"/>
    <w:rsid w:val="00315EFB"/>
    <w:rsid w:val="0039361C"/>
    <w:rsid w:val="003B1700"/>
    <w:rsid w:val="003D30E3"/>
    <w:rsid w:val="004A2FF0"/>
    <w:rsid w:val="004C393D"/>
    <w:rsid w:val="004F6A42"/>
    <w:rsid w:val="00534ADE"/>
    <w:rsid w:val="00562465"/>
    <w:rsid w:val="005D43F0"/>
    <w:rsid w:val="006238EE"/>
    <w:rsid w:val="0065056A"/>
    <w:rsid w:val="0065490D"/>
    <w:rsid w:val="006B5750"/>
    <w:rsid w:val="006E5821"/>
    <w:rsid w:val="0070040A"/>
    <w:rsid w:val="007D7DDC"/>
    <w:rsid w:val="008021EE"/>
    <w:rsid w:val="008165C6"/>
    <w:rsid w:val="00821ED3"/>
    <w:rsid w:val="008A6B32"/>
    <w:rsid w:val="009060AD"/>
    <w:rsid w:val="00973014"/>
    <w:rsid w:val="009C01B3"/>
    <w:rsid w:val="009D4E5F"/>
    <w:rsid w:val="00A23443"/>
    <w:rsid w:val="00A47391"/>
    <w:rsid w:val="00AE222C"/>
    <w:rsid w:val="00BE1271"/>
    <w:rsid w:val="00BF4810"/>
    <w:rsid w:val="00C02301"/>
    <w:rsid w:val="00DC6153"/>
    <w:rsid w:val="00E1333D"/>
    <w:rsid w:val="00E22429"/>
    <w:rsid w:val="00E57035"/>
    <w:rsid w:val="00F059EB"/>
    <w:rsid w:val="00F12423"/>
    <w:rsid w:val="00F308C4"/>
    <w:rsid w:val="00F77C90"/>
    <w:rsid w:val="00F93E85"/>
    <w:rsid w:val="00FC1B29"/>
    <w:rsid w:val="00FD55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C7167"/>
  <w15:chartTrackingRefBased/>
  <w15:docId w15:val="{9D928175-9770-4AC2-8B83-5EDB2DE32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C90"/>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77C90"/>
    <w:rPr>
      <w:color w:val="0000FF"/>
      <w:u w:val="single"/>
    </w:rPr>
  </w:style>
  <w:style w:type="character" w:styleId="Emphasis">
    <w:name w:val="Emphasis"/>
    <w:basedOn w:val="DefaultParagraphFont"/>
    <w:qFormat/>
    <w:rsid w:val="00F77C90"/>
    <w:rPr>
      <w:i/>
      <w:iCs/>
    </w:rPr>
  </w:style>
  <w:style w:type="paragraph" w:styleId="NormalWeb">
    <w:name w:val="Normal (Web)"/>
    <w:basedOn w:val="Normal"/>
    <w:uiPriority w:val="99"/>
    <w:unhideWhenUsed/>
    <w:rsid w:val="00F77C90"/>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styleId="Header">
    <w:name w:val="header"/>
    <w:basedOn w:val="Normal"/>
    <w:link w:val="HeaderChar"/>
    <w:uiPriority w:val="99"/>
    <w:unhideWhenUsed/>
    <w:rsid w:val="00AE222C"/>
    <w:pPr>
      <w:tabs>
        <w:tab w:val="center" w:pos="4513"/>
        <w:tab w:val="right" w:pos="9026"/>
      </w:tabs>
      <w:snapToGrid w:val="0"/>
    </w:pPr>
  </w:style>
  <w:style w:type="character" w:customStyle="1" w:styleId="HeaderChar">
    <w:name w:val="Header Char"/>
    <w:basedOn w:val="DefaultParagraphFont"/>
    <w:link w:val="Header"/>
    <w:uiPriority w:val="99"/>
    <w:rsid w:val="00AE222C"/>
  </w:style>
  <w:style w:type="paragraph" w:styleId="Footer">
    <w:name w:val="footer"/>
    <w:basedOn w:val="Normal"/>
    <w:link w:val="FooterChar"/>
    <w:uiPriority w:val="99"/>
    <w:unhideWhenUsed/>
    <w:rsid w:val="00AE222C"/>
    <w:pPr>
      <w:tabs>
        <w:tab w:val="center" w:pos="4513"/>
        <w:tab w:val="right" w:pos="9026"/>
      </w:tabs>
      <w:snapToGrid w:val="0"/>
    </w:pPr>
  </w:style>
  <w:style w:type="character" w:customStyle="1" w:styleId="FooterChar">
    <w:name w:val="Footer Char"/>
    <w:basedOn w:val="DefaultParagraphFont"/>
    <w:link w:val="Footer"/>
    <w:uiPriority w:val="99"/>
    <w:rsid w:val="00AE222C"/>
  </w:style>
  <w:style w:type="paragraph" w:customStyle="1" w:styleId="EndNoteBibliographyTitle">
    <w:name w:val="EndNote Bibliography Title"/>
    <w:basedOn w:val="Normal"/>
    <w:link w:val="EndNoteBibliographyTitleChar"/>
    <w:rsid w:val="0070040A"/>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70040A"/>
    <w:rPr>
      <w:rFonts w:ascii="Malgun Gothic" w:eastAsia="Malgun Gothic" w:hAnsi="Malgun Gothic"/>
      <w:noProof/>
    </w:rPr>
  </w:style>
  <w:style w:type="paragraph" w:customStyle="1" w:styleId="EndNoteBibliography">
    <w:name w:val="EndNote Bibliography"/>
    <w:basedOn w:val="Normal"/>
    <w:link w:val="EndNoteBibliographyChar"/>
    <w:rsid w:val="0070040A"/>
    <w:pPr>
      <w:spacing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70040A"/>
    <w:rPr>
      <w:rFonts w:ascii="Malgun Gothic" w:eastAsia="Malgun Gothic" w:hAnsi="Malgun Gothic"/>
      <w:noProof/>
    </w:rPr>
  </w:style>
  <w:style w:type="character" w:styleId="LineNumber">
    <w:name w:val="line number"/>
    <w:basedOn w:val="DefaultParagraphFont"/>
    <w:uiPriority w:val="99"/>
    <w:semiHidden/>
    <w:unhideWhenUsed/>
    <w:rsid w:val="0017669E"/>
  </w:style>
  <w:style w:type="paragraph" w:styleId="BalloonText">
    <w:name w:val="Balloon Text"/>
    <w:basedOn w:val="Normal"/>
    <w:link w:val="BalloonTextChar"/>
    <w:uiPriority w:val="99"/>
    <w:semiHidden/>
    <w:unhideWhenUsed/>
    <w:rsid w:val="003B1700"/>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B1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EDD59-6DF0-4B88-8987-072DB88A5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1940</Words>
  <Characters>11645</Characters>
  <Application>Microsoft Office Word</Application>
  <DocSecurity>0</DocSecurity>
  <Lines>181</Lines>
  <Paragraphs>62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AHRAN</dc:creator>
  <cp:keywords/>
  <dc:description/>
  <cp:lastModifiedBy>MDPI</cp:lastModifiedBy>
  <cp:revision>5</cp:revision>
  <dcterms:created xsi:type="dcterms:W3CDTF">2020-02-27T04:49:00Z</dcterms:created>
  <dcterms:modified xsi:type="dcterms:W3CDTF">2020-03-02T07:46:00Z</dcterms:modified>
</cp:coreProperties>
</file>