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49DB2" w14:textId="23232155" w:rsidR="00440853" w:rsidRDefault="00F4769C">
      <w:pPr>
        <w:widowControl/>
        <w:wordWrap/>
        <w:autoSpaceDE/>
        <w:autoSpaceDN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Table </w:t>
      </w:r>
      <w:r w:rsidR="00FE56B8">
        <w:rPr>
          <w:rFonts w:ascii="Times New Roman" w:hAnsi="Times New Roman" w:cs="Times New Roman"/>
          <w:sz w:val="24"/>
        </w:rPr>
        <w:t>S7</w:t>
      </w:r>
      <w:bookmarkStart w:id="0" w:name="_GoBack"/>
      <w:bookmarkEnd w:id="0"/>
      <w:r w:rsidR="00E77A63">
        <w:rPr>
          <w:rFonts w:ascii="Times New Roman" w:hAnsi="Times New Roman" w:cs="Times New Roman"/>
          <w:sz w:val="24"/>
        </w:rPr>
        <w:t>. Primers used</w:t>
      </w:r>
      <w:r w:rsidR="008D1CEA">
        <w:rPr>
          <w:rFonts w:ascii="Times New Roman" w:hAnsi="Times New Roman" w:cs="Times New Roman"/>
          <w:sz w:val="24"/>
        </w:rPr>
        <w:t xml:space="preserve"> for gene expression in blood cells of rock bream</w:t>
      </w:r>
      <w:r w:rsidR="00E77A63">
        <w:rPr>
          <w:rFonts w:ascii="Times New Roman" w:hAnsi="Times New Roman" w:cs="Times New Roman"/>
          <w:sz w:val="24"/>
        </w:rPr>
        <w:t xml:space="preserve"> in this study.</w:t>
      </w:r>
    </w:p>
    <w:tbl>
      <w:tblPr>
        <w:tblStyle w:val="TableGrid"/>
        <w:tblW w:w="13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984"/>
        <w:gridCol w:w="284"/>
        <w:gridCol w:w="3545"/>
        <w:gridCol w:w="709"/>
        <w:gridCol w:w="1276"/>
        <w:gridCol w:w="992"/>
        <w:gridCol w:w="1276"/>
        <w:gridCol w:w="939"/>
      </w:tblGrid>
      <w:tr w:rsidR="000B28DF" w:rsidRPr="00A37CC9" w14:paraId="7E698390" w14:textId="77777777" w:rsidTr="000B28DF">
        <w:trPr>
          <w:trHeight w:val="522"/>
        </w:trPr>
        <w:tc>
          <w:tcPr>
            <w:tcW w:w="269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C6339F" w14:textId="77777777" w:rsidR="000B28DF" w:rsidRPr="00A37CC9" w:rsidRDefault="000B28DF" w:rsidP="00DC601E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b/>
                <w:sz w:val="20"/>
                <w:szCs w:val="20"/>
              </w:rPr>
              <w:t>Gene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B70EC3" w14:textId="77777777" w:rsidR="000B28DF" w:rsidRPr="00A37CC9" w:rsidRDefault="000B28DF" w:rsidP="00DC601E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b/>
                <w:sz w:val="20"/>
                <w:szCs w:val="20"/>
              </w:rPr>
              <w:t>Description (Accession No.)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14:paraId="28BE2AEE" w14:textId="77777777" w:rsidR="000B28DF" w:rsidRPr="00A37CC9" w:rsidRDefault="000B28DF" w:rsidP="00DC601E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81C002" w14:textId="77777777" w:rsidR="000B28DF" w:rsidRPr="00A37CC9" w:rsidRDefault="000B28DF" w:rsidP="00DC601E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b/>
                <w:sz w:val="20"/>
                <w:szCs w:val="20"/>
              </w:rPr>
              <w:t>Sequence (5’</w:t>
            </w:r>
            <w:r w:rsidRPr="00A37CC9">
              <w:rPr>
                <w:rFonts w:ascii="Batang" w:eastAsia="Batang" w:hAnsi="Batang" w:cs="Batang" w:hint="eastAsia"/>
                <w:b/>
                <w:sz w:val="20"/>
                <w:szCs w:val="20"/>
              </w:rPr>
              <w:t>→</w:t>
            </w:r>
            <w:r w:rsidRPr="00A37CC9">
              <w:rPr>
                <w:rFonts w:ascii="Palatino Linotype" w:hAnsi="Palatino Linotype" w:cs="Calibri"/>
                <w:b/>
                <w:sz w:val="20"/>
                <w:szCs w:val="20"/>
              </w:rPr>
              <w:t>3</w:t>
            </w:r>
            <w:r w:rsidRPr="00A37CC9">
              <w:rPr>
                <w:rFonts w:ascii="Palatino Linotype" w:hAnsi="Palatino Linotype" w:cs="Palatino Linotype"/>
                <w:b/>
                <w:sz w:val="20"/>
                <w:szCs w:val="20"/>
              </w:rPr>
              <w:t>’</w:t>
            </w:r>
            <w:r w:rsidRPr="00A37CC9">
              <w:rPr>
                <w:rFonts w:ascii="Palatino Linotype" w:hAnsi="Palatino Linotype" w:cs="Calibri"/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AFD481" w14:textId="77777777" w:rsidR="000B28DF" w:rsidRPr="00A37CC9" w:rsidRDefault="000B28DF" w:rsidP="00DC601E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b/>
                <w:sz w:val="20"/>
                <w:szCs w:val="20"/>
              </w:rPr>
              <w:t>Size (bp)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066C4553" w14:textId="512A5333" w:rsidR="000B28DF" w:rsidRPr="005741C9" w:rsidRDefault="000B28DF" w:rsidP="00DC601E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5741C9">
              <w:rPr>
                <w:rFonts w:ascii="Palatino Linotype" w:hAnsi="Palatino Linotype" w:cs="Calibri" w:hint="eastAsia"/>
                <w:b/>
                <w:sz w:val="20"/>
                <w:szCs w:val="20"/>
              </w:rPr>
              <w:t>Annealing Temperature</w:t>
            </w:r>
            <w:r w:rsidR="00EC687E" w:rsidRPr="005741C9">
              <w:rPr>
                <w:rFonts w:ascii="Palatino Linotype" w:hAnsi="Palatino Linotype" w:cs="Calibri"/>
                <w:b/>
                <w:sz w:val="20"/>
                <w:szCs w:val="20"/>
              </w:rPr>
              <w:t xml:space="preserve"> (</w:t>
            </w:r>
            <w:r w:rsidR="00EC687E" w:rsidRPr="005741C9">
              <w:rPr>
                <w:rFonts w:ascii="Times New Roman" w:hAnsi="Times New Roman" w:cs="Times New Roman"/>
                <w:b/>
                <w:sz w:val="20"/>
                <w:szCs w:val="20"/>
              </w:rPr>
              <w:t>℃</w:t>
            </w:r>
            <w:r w:rsidR="00EC687E" w:rsidRPr="005741C9">
              <w:rPr>
                <w:rFonts w:ascii="Palatino Linotype" w:hAnsi="Palatino Linotype" w:cs="Calibri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14:paraId="07BD7366" w14:textId="04A21B15" w:rsidR="000B28DF" w:rsidRPr="005741C9" w:rsidRDefault="000B28DF" w:rsidP="00DC601E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5741C9">
              <w:rPr>
                <w:rFonts w:ascii="Palatino Linotype" w:hAnsi="Palatino Linotype" w:cs="Calibri" w:hint="eastAsia"/>
                <w:b/>
                <w:sz w:val="20"/>
                <w:szCs w:val="20"/>
              </w:rPr>
              <w:t>Efficiency</w:t>
            </w:r>
            <w:r w:rsidR="00906813" w:rsidRPr="005741C9">
              <w:rPr>
                <w:rFonts w:ascii="Palatino Linotype" w:hAnsi="Palatino Linotype" w:cs="Calibri"/>
                <w:b/>
                <w:sz w:val="20"/>
                <w:szCs w:val="20"/>
              </w:rPr>
              <w:t xml:space="preserve"> (%)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785985" w14:textId="35DA034D" w:rsidR="000B28DF" w:rsidRPr="00A37CC9" w:rsidRDefault="000B28DF" w:rsidP="00DC601E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b/>
                <w:sz w:val="20"/>
                <w:szCs w:val="20"/>
              </w:rPr>
              <w:t>Unigene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0EF212" w14:textId="77777777" w:rsidR="000B28DF" w:rsidRPr="00A37CC9" w:rsidRDefault="000B28DF" w:rsidP="00DC601E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b/>
                <w:sz w:val="20"/>
                <w:szCs w:val="20"/>
              </w:rPr>
              <w:t>References</w:t>
            </w:r>
          </w:p>
        </w:tc>
      </w:tr>
      <w:tr w:rsidR="000B28DF" w:rsidRPr="00A37CC9" w14:paraId="27658EA5" w14:textId="77777777" w:rsidTr="00CF63E1">
        <w:trPr>
          <w:trHeight w:val="261"/>
        </w:trPr>
        <w:tc>
          <w:tcPr>
            <w:tcW w:w="1418" w:type="dxa"/>
          </w:tcPr>
          <w:p w14:paraId="30E93927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Hub gene</w:t>
            </w:r>
          </w:p>
        </w:tc>
        <w:tc>
          <w:tcPr>
            <w:tcW w:w="1276" w:type="dxa"/>
          </w:tcPr>
          <w:p w14:paraId="7E426129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PRPF19</w:t>
            </w:r>
          </w:p>
        </w:tc>
        <w:tc>
          <w:tcPr>
            <w:tcW w:w="1984" w:type="dxa"/>
            <w:vMerge w:val="restart"/>
            <w:vAlign w:val="center"/>
          </w:tcPr>
          <w:p w14:paraId="5396537C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Pre-mRNA-processing factor 19 (Q9UMS4)</w:t>
            </w:r>
          </w:p>
        </w:tc>
        <w:tc>
          <w:tcPr>
            <w:tcW w:w="284" w:type="dxa"/>
          </w:tcPr>
          <w:p w14:paraId="490DA3F9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3545" w:type="dxa"/>
          </w:tcPr>
          <w:p w14:paraId="2B585ED3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TCGCCAAGAATTGTCACACG</w:t>
            </w:r>
          </w:p>
        </w:tc>
        <w:tc>
          <w:tcPr>
            <w:tcW w:w="709" w:type="dxa"/>
            <w:vMerge w:val="restart"/>
          </w:tcPr>
          <w:p w14:paraId="783A968C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85</w:t>
            </w:r>
          </w:p>
        </w:tc>
        <w:tc>
          <w:tcPr>
            <w:tcW w:w="1276" w:type="dxa"/>
          </w:tcPr>
          <w:p w14:paraId="260F57C5" w14:textId="26663140" w:rsidR="000B28DF" w:rsidRPr="00791C3D" w:rsidRDefault="00A03B5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  <w:r w:rsidRPr="00791C3D">
              <w:rPr>
                <w:rFonts w:ascii="Palatino Linotype" w:hAnsi="Palatino Linotype" w:cs="Calibri" w:hint="eastAsia"/>
                <w:sz w:val="20"/>
                <w:szCs w:val="18"/>
              </w:rPr>
              <w:t>5</w:t>
            </w:r>
            <w:r w:rsidRPr="00791C3D">
              <w:rPr>
                <w:rFonts w:ascii="Palatino Linotype" w:hAnsi="Palatino Linotype" w:cs="Calibri"/>
                <w:sz w:val="20"/>
                <w:szCs w:val="18"/>
              </w:rPr>
              <w:t>8</w:t>
            </w:r>
          </w:p>
        </w:tc>
        <w:tc>
          <w:tcPr>
            <w:tcW w:w="992" w:type="dxa"/>
          </w:tcPr>
          <w:p w14:paraId="593A9702" w14:textId="6B24D755" w:rsidR="000B28DF" w:rsidRPr="00791C3D" w:rsidRDefault="00115D19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  <w:r w:rsidRPr="00791C3D">
              <w:rPr>
                <w:rFonts w:ascii="Palatino Linotype" w:hAnsi="Palatino Linotype" w:cs="Calibri" w:hint="eastAsia"/>
                <w:sz w:val="20"/>
                <w:szCs w:val="18"/>
              </w:rPr>
              <w:t>98.23</w:t>
            </w:r>
          </w:p>
        </w:tc>
        <w:tc>
          <w:tcPr>
            <w:tcW w:w="1276" w:type="dxa"/>
          </w:tcPr>
          <w:p w14:paraId="7AAE6727" w14:textId="0A00BC0B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RockBream_ISO000111</w:t>
            </w:r>
          </w:p>
        </w:tc>
        <w:tc>
          <w:tcPr>
            <w:tcW w:w="939" w:type="dxa"/>
            <w:vMerge w:val="restart"/>
          </w:tcPr>
          <w:p w14:paraId="0FB82B66" w14:textId="77777777" w:rsidR="000B28DF" w:rsidRPr="00A37CC9" w:rsidRDefault="000B28DF" w:rsidP="0013329F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In this study</w:t>
            </w:r>
          </w:p>
        </w:tc>
      </w:tr>
      <w:tr w:rsidR="000B28DF" w:rsidRPr="00A37CC9" w14:paraId="1BE03840" w14:textId="77777777" w:rsidTr="00CF63E1">
        <w:trPr>
          <w:trHeight w:val="261"/>
        </w:trPr>
        <w:tc>
          <w:tcPr>
            <w:tcW w:w="1418" w:type="dxa"/>
            <w:tcBorders>
              <w:bottom w:val="single" w:sz="4" w:space="0" w:color="auto"/>
            </w:tcBorders>
          </w:tcPr>
          <w:p w14:paraId="7E1E1852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397ED76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14:paraId="567DA274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CCE2D22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R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14:paraId="7CA647E4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TGCAGCAGTAACCTCTTTGG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220EE2B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068C165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BF8FA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45D904F" w14:textId="37C01D9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bottom w:val="single" w:sz="4" w:space="0" w:color="auto"/>
            </w:tcBorders>
          </w:tcPr>
          <w:p w14:paraId="6475F260" w14:textId="77777777" w:rsidR="000B28DF" w:rsidRPr="00A37CC9" w:rsidRDefault="000B28DF" w:rsidP="0013329F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</w:tr>
      <w:tr w:rsidR="000B28DF" w:rsidRPr="00A37CC9" w14:paraId="7D98EACB" w14:textId="77777777" w:rsidTr="00CF63E1">
        <w:trPr>
          <w:trHeight w:val="261"/>
        </w:trPr>
        <w:tc>
          <w:tcPr>
            <w:tcW w:w="1418" w:type="dxa"/>
            <w:tcBorders>
              <w:top w:val="single" w:sz="4" w:space="0" w:color="auto"/>
            </w:tcBorders>
          </w:tcPr>
          <w:p w14:paraId="78C48640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Apoptosis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65F3B44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CASP3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2E71567A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Caspase-3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D0F57B1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14:paraId="60A4052E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AGCAGTGTGGAAGAGCAAAC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0F67946C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143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82D5181" w14:textId="039FEA25" w:rsidR="000B28DF" w:rsidRPr="00791C3D" w:rsidRDefault="00A03B5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  <w:r w:rsidRPr="00791C3D">
              <w:rPr>
                <w:rFonts w:ascii="Palatino Linotype" w:hAnsi="Palatino Linotype" w:cs="Calibri" w:hint="eastAsia"/>
                <w:sz w:val="20"/>
                <w:szCs w:val="18"/>
              </w:rPr>
              <w:t>5</w:t>
            </w:r>
            <w:r w:rsidRPr="00791C3D">
              <w:rPr>
                <w:rFonts w:ascii="Palatino Linotype" w:hAnsi="Palatino Linotype" w:cs="Calibri"/>
                <w:sz w:val="20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626B744" w14:textId="19F75C92" w:rsidR="000B28DF" w:rsidRPr="00791C3D" w:rsidRDefault="00115D19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  <w:r w:rsidRPr="00791C3D">
              <w:rPr>
                <w:rFonts w:ascii="Palatino Linotype" w:hAnsi="Palatino Linotype" w:cs="Calibri" w:hint="eastAsia"/>
                <w:sz w:val="20"/>
                <w:szCs w:val="18"/>
              </w:rPr>
              <w:t>99.04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13B5BD7E" w14:textId="77CB87D4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RockBream_ISO018528</w:t>
            </w:r>
          </w:p>
          <w:p w14:paraId="3E333E79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RockBream_ISO045470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</w:tcBorders>
          </w:tcPr>
          <w:p w14:paraId="4EF08E89" w14:textId="77777777" w:rsidR="000B28DF" w:rsidRPr="00A37CC9" w:rsidRDefault="000B28DF" w:rsidP="0013329F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In this study</w:t>
            </w:r>
          </w:p>
        </w:tc>
      </w:tr>
      <w:tr w:rsidR="000B28DF" w:rsidRPr="00A37CC9" w14:paraId="355DD16E" w14:textId="77777777" w:rsidTr="00CF63E1">
        <w:trPr>
          <w:trHeight w:val="206"/>
        </w:trPr>
        <w:tc>
          <w:tcPr>
            <w:tcW w:w="1418" w:type="dxa"/>
          </w:tcPr>
          <w:p w14:paraId="6E746375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ashed" w:sz="4" w:space="0" w:color="auto"/>
            </w:tcBorders>
          </w:tcPr>
          <w:p w14:paraId="02186722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14:paraId="7D393EEB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(Q60431)</w:t>
            </w:r>
          </w:p>
        </w:tc>
        <w:tc>
          <w:tcPr>
            <w:tcW w:w="284" w:type="dxa"/>
            <w:tcBorders>
              <w:bottom w:val="dashed" w:sz="4" w:space="0" w:color="auto"/>
            </w:tcBorders>
          </w:tcPr>
          <w:p w14:paraId="182FA6BA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R</w:t>
            </w:r>
          </w:p>
        </w:tc>
        <w:tc>
          <w:tcPr>
            <w:tcW w:w="3545" w:type="dxa"/>
            <w:tcBorders>
              <w:bottom w:val="dashed" w:sz="4" w:space="0" w:color="auto"/>
            </w:tcBorders>
          </w:tcPr>
          <w:p w14:paraId="771BE098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TGCAACATCTCACACAAGGC</w:t>
            </w:r>
          </w:p>
        </w:tc>
        <w:tc>
          <w:tcPr>
            <w:tcW w:w="709" w:type="dxa"/>
            <w:vMerge/>
            <w:tcBorders>
              <w:bottom w:val="dashed" w:sz="4" w:space="0" w:color="auto"/>
            </w:tcBorders>
          </w:tcPr>
          <w:p w14:paraId="03841BD0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ashed" w:sz="4" w:space="0" w:color="auto"/>
            </w:tcBorders>
          </w:tcPr>
          <w:p w14:paraId="2A1430D3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223D62FF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ed" w:sz="4" w:space="0" w:color="auto"/>
            </w:tcBorders>
          </w:tcPr>
          <w:p w14:paraId="7E2B9FF3" w14:textId="2651913C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bottom w:val="dashed" w:sz="4" w:space="0" w:color="auto"/>
            </w:tcBorders>
          </w:tcPr>
          <w:p w14:paraId="6AA41F9E" w14:textId="77777777" w:rsidR="000B28DF" w:rsidRPr="00A37CC9" w:rsidRDefault="000B28DF" w:rsidP="0013329F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</w:tr>
      <w:tr w:rsidR="000B28DF" w:rsidRPr="00A37CC9" w14:paraId="5FFF919A" w14:textId="77777777" w:rsidTr="00CF63E1">
        <w:trPr>
          <w:trHeight w:val="261"/>
        </w:trPr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14:paraId="50FC4208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Pattern recognition receptor (PRR)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787E1F8B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TLR9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198D1441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Toll-like receptor 9 (Q9NR96)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44EC5B9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14:paraId="6D042851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TGGAGAACTCGAATCACAGGAG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538B8AA9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4CB822B" w14:textId="69EEBD7F" w:rsidR="000B28DF" w:rsidRPr="00791C3D" w:rsidRDefault="00A03B5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  <w:r w:rsidRPr="00791C3D">
              <w:rPr>
                <w:rFonts w:ascii="Palatino Linotype" w:hAnsi="Palatino Linotype" w:cs="Calibri" w:hint="eastAsia"/>
                <w:sz w:val="20"/>
                <w:szCs w:val="18"/>
              </w:rPr>
              <w:t>5</w:t>
            </w:r>
            <w:r w:rsidRPr="00791C3D">
              <w:rPr>
                <w:rFonts w:ascii="Palatino Linotype" w:hAnsi="Palatino Linotype" w:cs="Calibri"/>
                <w:sz w:val="20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E2B4EF2" w14:textId="3DAB5BEC" w:rsidR="000B28DF" w:rsidRPr="00791C3D" w:rsidRDefault="00AB02AB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  <w:r w:rsidRPr="00791C3D">
              <w:rPr>
                <w:rFonts w:ascii="Palatino Linotype" w:hAnsi="Palatino Linotype" w:cs="Calibri"/>
                <w:sz w:val="20"/>
                <w:szCs w:val="18"/>
              </w:rPr>
              <w:t>101</w:t>
            </w:r>
            <w:r w:rsidRPr="00791C3D">
              <w:rPr>
                <w:rFonts w:ascii="Palatino Linotype" w:hAnsi="Palatino Linotype" w:cs="Calibri" w:hint="eastAsia"/>
                <w:sz w:val="20"/>
                <w:szCs w:val="18"/>
              </w:rPr>
              <w:t>.</w:t>
            </w:r>
            <w:r w:rsidRPr="00791C3D">
              <w:rPr>
                <w:rFonts w:ascii="Palatino Linotype" w:hAnsi="Palatino Linotype" w:cs="Calibri"/>
                <w:sz w:val="20"/>
                <w:szCs w:val="18"/>
              </w:rPr>
              <w:t>1</w:t>
            </w:r>
            <w:r w:rsidR="004A692C" w:rsidRPr="00791C3D">
              <w:rPr>
                <w:rFonts w:ascii="Palatino Linotype" w:hAnsi="Palatino Linotype" w:cs="Calibri"/>
                <w:sz w:val="20"/>
                <w:szCs w:val="18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02E359FD" w14:textId="280B8CF5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RockBream_ISO055388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</w:tcBorders>
          </w:tcPr>
          <w:p w14:paraId="66FFED97" w14:textId="77777777" w:rsidR="000B28DF" w:rsidRPr="00A37CC9" w:rsidRDefault="000B28DF" w:rsidP="0013329F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In this study</w:t>
            </w:r>
          </w:p>
          <w:p w14:paraId="034A99EB" w14:textId="77777777" w:rsidR="000B28DF" w:rsidRPr="00A37CC9" w:rsidRDefault="000B28DF" w:rsidP="0013329F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</w:tr>
      <w:tr w:rsidR="000B28DF" w:rsidRPr="00A37CC9" w14:paraId="34116D58" w14:textId="77777777" w:rsidTr="00CF63E1">
        <w:trPr>
          <w:trHeight w:val="784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6A81BADB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0DEA4259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6EFFFB30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6D545CBE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R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14:paraId="5876CC0C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TGCATGAAAGCCCAGGAATC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07EDF45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252EB85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2B17017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E483E04" w14:textId="3E807FBE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bottom w:val="single" w:sz="4" w:space="0" w:color="auto"/>
            </w:tcBorders>
          </w:tcPr>
          <w:p w14:paraId="34802B7F" w14:textId="77777777" w:rsidR="000B28DF" w:rsidRPr="00A37CC9" w:rsidRDefault="000B28DF" w:rsidP="0013329F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</w:tr>
      <w:tr w:rsidR="000B28DF" w:rsidRPr="00A37CC9" w14:paraId="046DB7F9" w14:textId="77777777" w:rsidTr="00CF63E1">
        <w:trPr>
          <w:trHeight w:val="271"/>
        </w:trPr>
        <w:tc>
          <w:tcPr>
            <w:tcW w:w="1418" w:type="dxa"/>
            <w:tcBorders>
              <w:top w:val="single" w:sz="4" w:space="0" w:color="auto"/>
            </w:tcBorders>
          </w:tcPr>
          <w:p w14:paraId="1B9CAA61" w14:textId="33954B5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Immune-related gene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644103CF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CTLA4-L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2D3BFB5C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 xml:space="preserve">Cytotoxic T-lymphocyte protein 4-like </w:t>
            </w:r>
          </w:p>
          <w:p w14:paraId="7126C61F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(NR 734643188)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78B7AF6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14:paraId="3CF91831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TGACAGTGTCTGGACTGCAAG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3B21EE23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FDB2284" w14:textId="266CB95A" w:rsidR="000B28DF" w:rsidRPr="00791C3D" w:rsidRDefault="00A03B5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eastAsia="Malgun Gothic" w:hAnsi="Palatino Linotype" w:cs="Calibri"/>
                <w:color w:val="000000"/>
                <w:sz w:val="20"/>
                <w:szCs w:val="18"/>
              </w:rPr>
            </w:pPr>
            <w:r w:rsidRPr="00791C3D">
              <w:rPr>
                <w:rFonts w:ascii="Palatino Linotype" w:eastAsia="Malgun Gothic" w:hAnsi="Palatino Linotype" w:cs="Calibri" w:hint="eastAsia"/>
                <w:color w:val="000000"/>
                <w:sz w:val="20"/>
                <w:szCs w:val="18"/>
              </w:rPr>
              <w:t>5</w:t>
            </w:r>
            <w:r w:rsidRPr="00791C3D">
              <w:rPr>
                <w:rFonts w:ascii="Palatino Linotype" w:eastAsia="Malgun Gothic" w:hAnsi="Palatino Linotype" w:cs="Calibri"/>
                <w:color w:val="000000"/>
                <w:sz w:val="20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CE366CF" w14:textId="7A1190DC" w:rsidR="000B28DF" w:rsidRPr="00791C3D" w:rsidRDefault="00E23015" w:rsidP="00212BCA">
            <w:pPr>
              <w:widowControl/>
              <w:wordWrap/>
              <w:autoSpaceDE/>
              <w:autoSpaceDN/>
              <w:jc w:val="center"/>
              <w:rPr>
                <w:rFonts w:ascii="Palatino Linotype" w:eastAsia="Malgun Gothic" w:hAnsi="Palatino Linotype" w:cs="Calibri"/>
                <w:color w:val="000000"/>
                <w:sz w:val="20"/>
                <w:szCs w:val="18"/>
              </w:rPr>
            </w:pPr>
            <w:r w:rsidRPr="00791C3D">
              <w:rPr>
                <w:rFonts w:ascii="Palatino Linotype" w:eastAsia="Malgun Gothic" w:hAnsi="Palatino Linotype" w:cs="Calibri" w:hint="eastAsia"/>
                <w:color w:val="000000"/>
                <w:sz w:val="20"/>
                <w:szCs w:val="18"/>
              </w:rPr>
              <w:t>98.4</w:t>
            </w:r>
            <w:r w:rsidRPr="00791C3D">
              <w:rPr>
                <w:rFonts w:ascii="Palatino Linotype" w:eastAsia="Malgun Gothic" w:hAnsi="Palatino Linotype" w:cs="Calibri"/>
                <w:color w:val="000000"/>
                <w:sz w:val="20"/>
                <w:szCs w:val="18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1FB9827E" w14:textId="4C261AEA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RockBream_ISO065023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</w:tcBorders>
          </w:tcPr>
          <w:p w14:paraId="2ACFE415" w14:textId="77777777" w:rsidR="000B28DF" w:rsidRPr="00A37CC9" w:rsidRDefault="000B28DF" w:rsidP="0013329F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In this study</w:t>
            </w:r>
          </w:p>
        </w:tc>
      </w:tr>
      <w:tr w:rsidR="000B28DF" w:rsidRPr="00A37CC9" w14:paraId="2914FC1C" w14:textId="77777777" w:rsidTr="00CF63E1">
        <w:trPr>
          <w:trHeight w:val="381"/>
        </w:trPr>
        <w:tc>
          <w:tcPr>
            <w:tcW w:w="1418" w:type="dxa"/>
            <w:tcBorders>
              <w:bottom w:val="single" w:sz="4" w:space="0" w:color="auto"/>
            </w:tcBorders>
          </w:tcPr>
          <w:p w14:paraId="003783BB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6CC56037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14:paraId="6B092287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587E89B5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R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14:paraId="0975B78E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ATGAATGAGTGTGCCGTTGC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40F6B0D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AC801BE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60ABC8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E8A887E" w14:textId="6AEC114D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bottom w:val="single" w:sz="4" w:space="0" w:color="auto"/>
            </w:tcBorders>
          </w:tcPr>
          <w:p w14:paraId="03A34183" w14:textId="77777777" w:rsidR="000B28DF" w:rsidRPr="00A37CC9" w:rsidRDefault="000B28DF" w:rsidP="0013329F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</w:tr>
      <w:tr w:rsidR="000B28DF" w:rsidRPr="00A37CC9" w14:paraId="2EA0666D" w14:textId="77777777" w:rsidTr="00CF63E1">
        <w:trPr>
          <w:trHeight w:val="271"/>
        </w:trPr>
        <w:tc>
          <w:tcPr>
            <w:tcW w:w="1418" w:type="dxa"/>
            <w:tcBorders>
              <w:top w:val="single" w:sz="4" w:space="0" w:color="auto"/>
            </w:tcBorders>
          </w:tcPr>
          <w:p w14:paraId="25187685" w14:textId="2198A729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Antigen presentation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36879692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MHCI (H2L)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0AA8391B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H-2 class I histocompatibility antigen, L-D alpha chain (P01897)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2A38105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14:paraId="05999036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AGATTACTGGGAAAAAGGCACA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6F3E109A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77C217B" w14:textId="48FA4E97" w:rsidR="000B28DF" w:rsidRPr="00791C3D" w:rsidRDefault="007A2247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  <w:r>
              <w:rPr>
                <w:rFonts w:ascii="Palatino Linotype" w:hAnsi="Palatino Linotype" w:cs="Calibri" w:hint="eastAsia"/>
                <w:sz w:val="20"/>
                <w:szCs w:val="18"/>
              </w:rPr>
              <w:t>6</w:t>
            </w:r>
            <w:r>
              <w:rPr>
                <w:rFonts w:ascii="Palatino Linotype" w:hAnsi="Palatino Linotype" w:cs="Calibri"/>
                <w:sz w:val="20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FC798C5" w14:textId="2C787A9F" w:rsidR="000B28DF" w:rsidRPr="00791C3D" w:rsidRDefault="00E05E17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  <w:r w:rsidRPr="00791C3D">
              <w:rPr>
                <w:rFonts w:ascii="Palatino Linotype" w:hAnsi="Palatino Linotype" w:cs="Calibri" w:hint="eastAsia"/>
                <w:sz w:val="20"/>
                <w:szCs w:val="18"/>
              </w:rPr>
              <w:t>101.</w:t>
            </w:r>
            <w:r w:rsidRPr="00791C3D">
              <w:rPr>
                <w:rFonts w:ascii="Palatino Linotype" w:hAnsi="Palatino Linotype" w:cs="Calibri"/>
                <w:sz w:val="20"/>
                <w:szCs w:val="18"/>
              </w:rPr>
              <w:t>14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3B0FCB7F" w14:textId="00AB1EC2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RockBream_ISO051992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</w:tcBorders>
          </w:tcPr>
          <w:p w14:paraId="67FEA22C" w14:textId="22BC7E07" w:rsidR="000B28DF" w:rsidRPr="00A37CC9" w:rsidRDefault="000B28DF" w:rsidP="0013329F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>
              <w:rPr>
                <w:rFonts w:ascii="Palatino Linotype" w:hAnsi="Palatino Linotype" w:cs="Calibri"/>
                <w:szCs w:val="20"/>
              </w:rPr>
              <w:fldChar w:fldCharType="begin"/>
            </w:r>
            <w:r>
              <w:rPr>
                <w:rFonts w:ascii="Palatino Linotype" w:hAnsi="Palatino Linotype" w:cs="Calibri"/>
                <w:sz w:val="20"/>
                <w:szCs w:val="20"/>
              </w:rPr>
              <w:instrText xml:space="preserve"> ADDIN EN.CITE &lt;EndNote&gt;&lt;Cite&gt;&lt;Author&gt;Nikapitiya&lt;/Author&gt;&lt;Year&gt;2014&lt;/Year&gt;&lt;RecNum&gt;96&lt;/RecNum&gt;&lt;DisplayText&gt;[1]&lt;/DisplayText&gt;&lt;record&gt;&lt;rec-number&gt;96&lt;/rec-number&gt;&lt;foreign-keys&gt;&lt;key app="EN" db-id="tatetaawwwe5a2ewteqxvftcfs2ae9zfxa59" timestamp="1574855852"&gt;96&lt;/key&gt;&lt;key app="ENWeb" db-id=""&gt;0&lt;/key&gt;&lt;/foreign-keys&gt;&lt;ref-type name="Journal Article"&gt;17&lt;/ref-type&gt;&lt;contributors&gt;&lt;authors&gt;&lt;author&gt;Nikapitiya, Chamilani&lt;/author&gt;&lt;author&gt;Jung, Sung-Ju&lt;/author&gt;&lt;author&gt;Jung, Myung-Hwa&lt;/author&gt;&lt;author&gt;Song, Jun-Young&lt;/author&gt;&lt;author&gt;Lee, Jehee&lt;/author&gt;&lt;author&gt;Lee, Jeong-Ho&lt;/author&gt;&lt;author&gt;Oh, Myung-Joo&lt;/author&gt;&lt;/authors&gt;&lt;/contributors&gt;&lt;titles&gt;&lt;title&gt;Identification and Molecular Characterization of Z/ZE Lineage MHC Class I Heavy Chain Homologue and ^|^beta;2-microglobulin from Rock Bream Oplegnathus fasciatus&lt;/title&gt;&lt;secondary-title&gt;Fish Pathology&lt;/secondary-title&gt;&lt;/titles&gt;&lt;periodical&gt;&lt;full-title&gt;Fish Pathology&lt;/full-title&gt;&lt;/periodical&gt;&lt;pages&gt;93-112&lt;/pages&gt;&lt;volume&gt;49&lt;/volume&gt;&lt;number&gt;3&lt;/number&gt;&lt;section&gt;93&lt;/section&gt;&lt;dates&gt;&lt;year&gt;2014&lt;/year&gt;&lt;/dates&gt;&lt;isbn&gt;0388-788X&amp;#xD;1881-7335&lt;/isbn&gt;&lt;urls&gt;&lt;/urls&gt;&lt;electronic-resource-num&gt;10.3147/jsfp.49.93&lt;/electronic-resource-num&gt;&lt;/record&gt;&lt;/Cite&gt;&lt;/EndNote&gt;</w:instrText>
            </w:r>
            <w:r>
              <w:rPr>
                <w:rFonts w:ascii="Palatino Linotype" w:hAnsi="Palatino Linotype" w:cs="Calibri"/>
                <w:szCs w:val="20"/>
              </w:rPr>
              <w:fldChar w:fldCharType="separate"/>
            </w:r>
            <w:r>
              <w:rPr>
                <w:rFonts w:ascii="Palatino Linotype" w:hAnsi="Palatino Linotype" w:cs="Calibri"/>
                <w:noProof/>
                <w:sz w:val="20"/>
                <w:szCs w:val="20"/>
              </w:rPr>
              <w:t>[</w:t>
            </w:r>
            <w:r w:rsidR="00193657">
              <w:rPr>
                <w:rFonts w:ascii="Palatino Linotype" w:hAnsi="Palatino Linotype" w:cs="Calibri"/>
                <w:noProof/>
                <w:sz w:val="20"/>
                <w:szCs w:val="20"/>
              </w:rPr>
              <w:t>100</w:t>
            </w:r>
            <w:r>
              <w:rPr>
                <w:rFonts w:ascii="Palatino Linotype" w:hAnsi="Palatino Linotype" w:cs="Calibri"/>
                <w:noProof/>
                <w:sz w:val="20"/>
                <w:szCs w:val="20"/>
              </w:rPr>
              <w:t>]</w:t>
            </w:r>
            <w:r>
              <w:rPr>
                <w:rFonts w:ascii="Palatino Linotype" w:hAnsi="Palatino Linotype" w:cs="Calibri"/>
                <w:szCs w:val="20"/>
              </w:rPr>
              <w:fldChar w:fldCharType="end"/>
            </w:r>
          </w:p>
        </w:tc>
      </w:tr>
      <w:tr w:rsidR="000B28DF" w:rsidRPr="00A37CC9" w14:paraId="01C7DE37" w14:textId="77777777" w:rsidTr="00CF63E1">
        <w:trPr>
          <w:trHeight w:val="597"/>
        </w:trPr>
        <w:tc>
          <w:tcPr>
            <w:tcW w:w="1418" w:type="dxa"/>
          </w:tcPr>
          <w:p w14:paraId="5A86216A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dashed" w:sz="4" w:space="0" w:color="auto"/>
            </w:tcBorders>
          </w:tcPr>
          <w:p w14:paraId="66BCB3BA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dashed" w:sz="4" w:space="0" w:color="auto"/>
            </w:tcBorders>
          </w:tcPr>
          <w:p w14:paraId="7047C6B3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dashed" w:sz="4" w:space="0" w:color="auto"/>
            </w:tcBorders>
          </w:tcPr>
          <w:p w14:paraId="0C9EC2F5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R</w:t>
            </w:r>
          </w:p>
        </w:tc>
        <w:tc>
          <w:tcPr>
            <w:tcW w:w="3545" w:type="dxa"/>
            <w:tcBorders>
              <w:bottom w:val="dashed" w:sz="4" w:space="0" w:color="auto"/>
            </w:tcBorders>
          </w:tcPr>
          <w:p w14:paraId="41A9E348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TCATTCGTTTCATCAGGATGTC</w:t>
            </w:r>
          </w:p>
        </w:tc>
        <w:tc>
          <w:tcPr>
            <w:tcW w:w="709" w:type="dxa"/>
            <w:vMerge/>
            <w:tcBorders>
              <w:bottom w:val="dashed" w:sz="4" w:space="0" w:color="auto"/>
            </w:tcBorders>
          </w:tcPr>
          <w:p w14:paraId="2D81166D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ashed" w:sz="4" w:space="0" w:color="auto"/>
            </w:tcBorders>
          </w:tcPr>
          <w:p w14:paraId="4A356310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1C2FDAE9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ed" w:sz="4" w:space="0" w:color="auto"/>
            </w:tcBorders>
          </w:tcPr>
          <w:p w14:paraId="4C462232" w14:textId="673CA26B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bottom w:val="dashed" w:sz="4" w:space="0" w:color="auto"/>
            </w:tcBorders>
          </w:tcPr>
          <w:p w14:paraId="399AC6C2" w14:textId="77777777" w:rsidR="000B28DF" w:rsidRPr="00A37CC9" w:rsidRDefault="000B28DF" w:rsidP="0013329F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</w:tr>
      <w:tr w:rsidR="000B28DF" w:rsidRPr="00A37CC9" w14:paraId="1C344046" w14:textId="77777777" w:rsidTr="00CF63E1">
        <w:trPr>
          <w:trHeight w:val="261"/>
        </w:trPr>
        <w:tc>
          <w:tcPr>
            <w:tcW w:w="1418" w:type="dxa"/>
            <w:vMerge w:val="restart"/>
          </w:tcPr>
          <w:p w14:paraId="6BA4A05F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br w:type="page"/>
            </w:r>
          </w:p>
        </w:tc>
        <w:tc>
          <w:tcPr>
            <w:tcW w:w="1276" w:type="dxa"/>
            <w:vMerge w:val="restart"/>
            <w:tcBorders>
              <w:top w:val="dashed" w:sz="4" w:space="0" w:color="auto"/>
            </w:tcBorders>
          </w:tcPr>
          <w:p w14:paraId="25A945CA" w14:textId="4B2F3FDB" w:rsidR="000B28DF" w:rsidRPr="00A37CC9" w:rsidRDefault="000B28DF" w:rsidP="007E7CA1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MHC2</w:t>
            </w:r>
            <w:r w:rsidRPr="00A37CC9">
              <w:rPr>
                <w:rFonts w:ascii="Palatino Linotype" w:hAnsi="Palatino Linotype" w:cs="Times New Roman"/>
                <w:sz w:val="20"/>
                <w:szCs w:val="20"/>
              </w:rPr>
              <w:t>α</w:t>
            </w:r>
          </w:p>
        </w:tc>
        <w:tc>
          <w:tcPr>
            <w:tcW w:w="1984" w:type="dxa"/>
            <w:vMerge w:val="restart"/>
            <w:tcBorders>
              <w:top w:val="dashed" w:sz="4" w:space="0" w:color="auto"/>
            </w:tcBorders>
          </w:tcPr>
          <w:p w14:paraId="69E728BA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MHC class II antigen alpha chain (Q30631)</w:t>
            </w:r>
          </w:p>
        </w:tc>
        <w:tc>
          <w:tcPr>
            <w:tcW w:w="284" w:type="dxa"/>
            <w:tcBorders>
              <w:top w:val="dashed" w:sz="4" w:space="0" w:color="auto"/>
            </w:tcBorders>
          </w:tcPr>
          <w:p w14:paraId="6412594F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3545" w:type="dxa"/>
            <w:tcBorders>
              <w:top w:val="dashed" w:sz="4" w:space="0" w:color="auto"/>
            </w:tcBorders>
          </w:tcPr>
          <w:p w14:paraId="2EF92190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ACGCAGACTTCAGCAACAAC</w:t>
            </w:r>
          </w:p>
        </w:tc>
        <w:tc>
          <w:tcPr>
            <w:tcW w:w="709" w:type="dxa"/>
            <w:vMerge w:val="restart"/>
            <w:tcBorders>
              <w:top w:val="dashed" w:sz="4" w:space="0" w:color="auto"/>
            </w:tcBorders>
          </w:tcPr>
          <w:p w14:paraId="26896070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94</w:t>
            </w:r>
          </w:p>
        </w:tc>
        <w:tc>
          <w:tcPr>
            <w:tcW w:w="1276" w:type="dxa"/>
            <w:tcBorders>
              <w:top w:val="dashed" w:sz="4" w:space="0" w:color="auto"/>
            </w:tcBorders>
          </w:tcPr>
          <w:p w14:paraId="3FC062AF" w14:textId="4EA04F89" w:rsidR="000B28DF" w:rsidRPr="00791C3D" w:rsidRDefault="00A03B5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  <w:r w:rsidRPr="00791C3D">
              <w:rPr>
                <w:rFonts w:ascii="Palatino Linotype" w:hAnsi="Palatino Linotype" w:cs="Calibri" w:hint="eastAsia"/>
                <w:sz w:val="20"/>
                <w:szCs w:val="18"/>
              </w:rPr>
              <w:t>5</w:t>
            </w:r>
            <w:r w:rsidRPr="00791C3D">
              <w:rPr>
                <w:rFonts w:ascii="Palatino Linotype" w:hAnsi="Palatino Linotype" w:cs="Calibri"/>
                <w:sz w:val="20"/>
                <w:szCs w:val="18"/>
              </w:rPr>
              <w:t>9</w:t>
            </w:r>
          </w:p>
        </w:tc>
        <w:tc>
          <w:tcPr>
            <w:tcW w:w="992" w:type="dxa"/>
            <w:tcBorders>
              <w:top w:val="dashed" w:sz="4" w:space="0" w:color="auto"/>
            </w:tcBorders>
          </w:tcPr>
          <w:p w14:paraId="2844C7B6" w14:textId="5AFC8F21" w:rsidR="000B28DF" w:rsidRPr="00791C3D" w:rsidRDefault="00DB1EB8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  <w:r w:rsidRPr="00791C3D">
              <w:rPr>
                <w:rFonts w:ascii="Palatino Linotype" w:hAnsi="Palatino Linotype" w:cs="Calibri" w:hint="eastAsia"/>
                <w:sz w:val="20"/>
                <w:szCs w:val="18"/>
              </w:rPr>
              <w:t>99.46</w:t>
            </w:r>
          </w:p>
        </w:tc>
        <w:tc>
          <w:tcPr>
            <w:tcW w:w="1276" w:type="dxa"/>
            <w:vMerge w:val="restart"/>
            <w:tcBorders>
              <w:top w:val="dashed" w:sz="4" w:space="0" w:color="auto"/>
            </w:tcBorders>
          </w:tcPr>
          <w:p w14:paraId="4016FE84" w14:textId="72EDCFAB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RockBream_ISO002795</w:t>
            </w:r>
          </w:p>
        </w:tc>
        <w:tc>
          <w:tcPr>
            <w:tcW w:w="939" w:type="dxa"/>
            <w:vMerge w:val="restart"/>
            <w:tcBorders>
              <w:top w:val="dashed" w:sz="4" w:space="0" w:color="auto"/>
            </w:tcBorders>
          </w:tcPr>
          <w:p w14:paraId="4D2EEC83" w14:textId="77777777" w:rsidR="000B28DF" w:rsidRPr="00A37CC9" w:rsidRDefault="000B28DF" w:rsidP="0013329F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In this study</w:t>
            </w:r>
          </w:p>
        </w:tc>
      </w:tr>
      <w:tr w:rsidR="000B28DF" w:rsidRPr="00A37CC9" w14:paraId="6E10F57C" w14:textId="77777777" w:rsidTr="00CF63E1">
        <w:trPr>
          <w:trHeight w:val="391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1B927960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D471756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0B5738AE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C26170C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R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14:paraId="4C4EE4CD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GCCACAGCTGTTTGATAAGCTC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9AC6438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799236C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92DA2FD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358D605B" w14:textId="71AE5CDE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bottom w:val="single" w:sz="4" w:space="0" w:color="auto"/>
            </w:tcBorders>
          </w:tcPr>
          <w:p w14:paraId="0BB65CC0" w14:textId="77777777" w:rsidR="000B28DF" w:rsidRPr="00A37CC9" w:rsidRDefault="000B28DF" w:rsidP="0013329F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</w:tr>
      <w:tr w:rsidR="000B28DF" w:rsidRPr="00A37CC9" w14:paraId="6E7AB5C1" w14:textId="77777777" w:rsidTr="00CF63E1">
        <w:trPr>
          <w:trHeight w:val="261"/>
        </w:trPr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14:paraId="1BA677AE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Platelet activation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5C4A1BC3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ITGA2B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2217E19B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Integrin alpha 2B (P08514)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936C204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14:paraId="14BDCA9A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TGTGTGTGTTTGGGGATTCG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501243CC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9B18BDE" w14:textId="706B86E5" w:rsidR="000B28DF" w:rsidRPr="00791C3D" w:rsidRDefault="00A03B5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  <w:r w:rsidRPr="00791C3D">
              <w:rPr>
                <w:rFonts w:ascii="Palatino Linotype" w:hAnsi="Palatino Linotype" w:cs="Calibri" w:hint="eastAsia"/>
                <w:sz w:val="20"/>
                <w:szCs w:val="18"/>
              </w:rPr>
              <w:t>5</w:t>
            </w:r>
            <w:r w:rsidRPr="00791C3D">
              <w:rPr>
                <w:rFonts w:ascii="Palatino Linotype" w:hAnsi="Palatino Linotype" w:cs="Calibri"/>
                <w:sz w:val="20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A0E9403" w14:textId="173BA231" w:rsidR="000B28DF" w:rsidRPr="00791C3D" w:rsidRDefault="00D10CF3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  <w:r w:rsidRPr="00791C3D">
              <w:rPr>
                <w:rFonts w:ascii="Palatino Linotype" w:hAnsi="Palatino Linotype" w:cs="Calibri" w:hint="eastAsia"/>
                <w:sz w:val="20"/>
                <w:szCs w:val="18"/>
              </w:rPr>
              <w:t>97.43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67BFB862" w14:textId="76D2A4F0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RockBream_ISO023674</w:t>
            </w:r>
          </w:p>
          <w:p w14:paraId="4111682F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RockBream_ISO038373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</w:tcBorders>
          </w:tcPr>
          <w:p w14:paraId="53D6B215" w14:textId="77777777" w:rsidR="000B28DF" w:rsidRPr="00A37CC9" w:rsidRDefault="000B28DF" w:rsidP="0013329F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In this study</w:t>
            </w:r>
          </w:p>
        </w:tc>
      </w:tr>
      <w:tr w:rsidR="000B28DF" w:rsidRPr="00A37CC9" w14:paraId="1C19BC71" w14:textId="77777777" w:rsidTr="00CF63E1">
        <w:trPr>
          <w:trHeight w:val="261"/>
        </w:trPr>
        <w:tc>
          <w:tcPr>
            <w:tcW w:w="1418" w:type="dxa"/>
            <w:vMerge/>
          </w:tcPr>
          <w:p w14:paraId="749B9D0E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dashed" w:sz="4" w:space="0" w:color="auto"/>
            </w:tcBorders>
          </w:tcPr>
          <w:p w14:paraId="10E50A50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dashed" w:sz="4" w:space="0" w:color="auto"/>
            </w:tcBorders>
          </w:tcPr>
          <w:p w14:paraId="3DC96C04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dashed" w:sz="4" w:space="0" w:color="auto"/>
            </w:tcBorders>
          </w:tcPr>
          <w:p w14:paraId="73419DD5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R</w:t>
            </w:r>
          </w:p>
        </w:tc>
        <w:tc>
          <w:tcPr>
            <w:tcW w:w="3545" w:type="dxa"/>
            <w:tcBorders>
              <w:bottom w:val="dashed" w:sz="4" w:space="0" w:color="auto"/>
            </w:tcBorders>
          </w:tcPr>
          <w:p w14:paraId="3750E00D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TCGGTGTTGTTGTCAGTGTC</w:t>
            </w:r>
          </w:p>
        </w:tc>
        <w:tc>
          <w:tcPr>
            <w:tcW w:w="709" w:type="dxa"/>
            <w:vMerge/>
            <w:tcBorders>
              <w:bottom w:val="dashed" w:sz="4" w:space="0" w:color="auto"/>
            </w:tcBorders>
          </w:tcPr>
          <w:p w14:paraId="34B02D50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ashed" w:sz="4" w:space="0" w:color="auto"/>
            </w:tcBorders>
          </w:tcPr>
          <w:p w14:paraId="0BD1CE20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14:paraId="756C238E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ed" w:sz="4" w:space="0" w:color="auto"/>
            </w:tcBorders>
          </w:tcPr>
          <w:p w14:paraId="65C720B0" w14:textId="6C50DE46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939" w:type="dxa"/>
            <w:vMerge/>
          </w:tcPr>
          <w:p w14:paraId="233DFCD8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</w:tr>
      <w:tr w:rsidR="000B28DF" w:rsidRPr="00A37CC9" w14:paraId="3FC03955" w14:textId="77777777" w:rsidTr="00CF63E1">
        <w:trPr>
          <w:trHeight w:val="271"/>
        </w:trPr>
        <w:tc>
          <w:tcPr>
            <w:tcW w:w="1418" w:type="dxa"/>
            <w:vMerge/>
          </w:tcPr>
          <w:p w14:paraId="225F09F4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ed" w:sz="4" w:space="0" w:color="auto"/>
            </w:tcBorders>
          </w:tcPr>
          <w:p w14:paraId="330D9362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GP5</w:t>
            </w:r>
          </w:p>
        </w:tc>
        <w:tc>
          <w:tcPr>
            <w:tcW w:w="1984" w:type="dxa"/>
            <w:vMerge w:val="restart"/>
            <w:tcBorders>
              <w:top w:val="dashed" w:sz="4" w:space="0" w:color="auto"/>
            </w:tcBorders>
          </w:tcPr>
          <w:p w14:paraId="2ADBE3DB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Platelet glycoprotein V (O08770)</w:t>
            </w:r>
          </w:p>
        </w:tc>
        <w:tc>
          <w:tcPr>
            <w:tcW w:w="284" w:type="dxa"/>
            <w:tcBorders>
              <w:top w:val="dashed" w:sz="4" w:space="0" w:color="auto"/>
            </w:tcBorders>
          </w:tcPr>
          <w:p w14:paraId="50C10673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3545" w:type="dxa"/>
            <w:tcBorders>
              <w:top w:val="dashed" w:sz="4" w:space="0" w:color="auto"/>
            </w:tcBorders>
          </w:tcPr>
          <w:p w14:paraId="182144F8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TGTATGCCACTAACCTCACCAC</w:t>
            </w:r>
          </w:p>
        </w:tc>
        <w:tc>
          <w:tcPr>
            <w:tcW w:w="709" w:type="dxa"/>
            <w:tcBorders>
              <w:top w:val="dashed" w:sz="4" w:space="0" w:color="auto"/>
            </w:tcBorders>
          </w:tcPr>
          <w:p w14:paraId="4F5F93BE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147</w:t>
            </w:r>
          </w:p>
        </w:tc>
        <w:tc>
          <w:tcPr>
            <w:tcW w:w="1276" w:type="dxa"/>
            <w:tcBorders>
              <w:top w:val="dashed" w:sz="4" w:space="0" w:color="auto"/>
            </w:tcBorders>
          </w:tcPr>
          <w:p w14:paraId="66E8C5B2" w14:textId="20312883" w:rsidR="000B28DF" w:rsidRPr="00791C3D" w:rsidRDefault="00A03B5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  <w:r w:rsidRPr="00791C3D">
              <w:rPr>
                <w:rFonts w:ascii="Palatino Linotype" w:hAnsi="Palatino Linotype" w:cs="Calibri" w:hint="eastAsia"/>
                <w:sz w:val="20"/>
                <w:szCs w:val="18"/>
              </w:rPr>
              <w:t>6</w:t>
            </w:r>
            <w:r w:rsidRPr="00791C3D">
              <w:rPr>
                <w:rFonts w:ascii="Palatino Linotype" w:hAnsi="Palatino Linotype" w:cs="Calibri"/>
                <w:sz w:val="20"/>
                <w:szCs w:val="18"/>
              </w:rPr>
              <w:t>0</w:t>
            </w:r>
          </w:p>
        </w:tc>
        <w:tc>
          <w:tcPr>
            <w:tcW w:w="992" w:type="dxa"/>
            <w:tcBorders>
              <w:top w:val="dashed" w:sz="4" w:space="0" w:color="auto"/>
            </w:tcBorders>
          </w:tcPr>
          <w:p w14:paraId="2FA876FF" w14:textId="69339591" w:rsidR="000B28DF" w:rsidRPr="00791C3D" w:rsidRDefault="00BC6868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  <w:r w:rsidRPr="00791C3D">
              <w:rPr>
                <w:rFonts w:ascii="Palatino Linotype" w:hAnsi="Palatino Linotype" w:cs="Calibri" w:hint="eastAsia"/>
                <w:sz w:val="20"/>
                <w:szCs w:val="18"/>
              </w:rPr>
              <w:t>100.29</w:t>
            </w:r>
          </w:p>
        </w:tc>
        <w:tc>
          <w:tcPr>
            <w:tcW w:w="1276" w:type="dxa"/>
            <w:tcBorders>
              <w:top w:val="dashed" w:sz="4" w:space="0" w:color="auto"/>
            </w:tcBorders>
          </w:tcPr>
          <w:p w14:paraId="20B3BBF6" w14:textId="509CEFCD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  <w:r w:rsidRPr="00A37CC9">
              <w:rPr>
                <w:rFonts w:ascii="Palatino Linotype" w:hAnsi="Palatino Linotype" w:cs="Calibri"/>
                <w:sz w:val="20"/>
                <w:szCs w:val="20"/>
              </w:rPr>
              <w:t>RockBream_ISO035817</w:t>
            </w:r>
          </w:p>
        </w:tc>
        <w:tc>
          <w:tcPr>
            <w:tcW w:w="939" w:type="dxa"/>
            <w:vMerge/>
          </w:tcPr>
          <w:p w14:paraId="2A3EA156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</w:tr>
      <w:tr w:rsidR="000B28DF" w:rsidRPr="00A37CC9" w14:paraId="4D29038B" w14:textId="77777777" w:rsidTr="00CF63E1">
        <w:trPr>
          <w:trHeight w:val="261"/>
        </w:trPr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4C644A98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3E8E8575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</w:tcPr>
          <w:p w14:paraId="7CA2A3FB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0679C328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R</w:t>
            </w:r>
          </w:p>
        </w:tc>
        <w:tc>
          <w:tcPr>
            <w:tcW w:w="3545" w:type="dxa"/>
            <w:tcBorders>
              <w:bottom w:val="single" w:sz="12" w:space="0" w:color="auto"/>
            </w:tcBorders>
          </w:tcPr>
          <w:p w14:paraId="08408976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</w:pPr>
            <w:r w:rsidRPr="00A37CC9">
              <w:rPr>
                <w:rFonts w:ascii="Palatino Linotype" w:eastAsia="Malgun Gothic" w:hAnsi="Palatino Linotype" w:cs="Calibri"/>
                <w:color w:val="000000"/>
                <w:sz w:val="20"/>
                <w:szCs w:val="20"/>
              </w:rPr>
              <w:t>ACGAGAGCTTCTGAAGGTTGG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2EE622A0" w14:textId="77777777" w:rsidR="000B28DF" w:rsidRPr="00A37CC9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791D4FD0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14:paraId="6371C6E2" w14:textId="77777777" w:rsidR="000B28DF" w:rsidRPr="00791C3D" w:rsidRDefault="000B28DF" w:rsidP="00212BCA">
            <w:pPr>
              <w:widowControl/>
              <w:wordWrap/>
              <w:autoSpaceDE/>
              <w:autoSpaceDN/>
              <w:jc w:val="center"/>
              <w:rPr>
                <w:rFonts w:ascii="Palatino Linotype" w:hAnsi="Palatino Linotype" w:cs="Calibri"/>
                <w:sz w:val="20"/>
                <w:szCs w:val="18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4DCB14CA" w14:textId="6CE9E136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bottom w:val="single" w:sz="12" w:space="0" w:color="auto"/>
            </w:tcBorders>
          </w:tcPr>
          <w:p w14:paraId="02E959DC" w14:textId="77777777" w:rsidR="000B28DF" w:rsidRPr="00A37CC9" w:rsidRDefault="000B28DF" w:rsidP="00DC601E">
            <w:pPr>
              <w:widowControl/>
              <w:wordWrap/>
              <w:autoSpaceDE/>
              <w:autoSpaceDN/>
              <w:rPr>
                <w:rFonts w:ascii="Palatino Linotype" w:hAnsi="Palatino Linotype" w:cs="Calibri"/>
                <w:sz w:val="20"/>
                <w:szCs w:val="20"/>
              </w:rPr>
            </w:pPr>
          </w:p>
        </w:tc>
      </w:tr>
    </w:tbl>
    <w:p w14:paraId="78108BB0" w14:textId="43BAD679" w:rsidR="00785958" w:rsidRPr="00465388" w:rsidRDefault="0091439A" w:rsidP="0091439A">
      <w:pPr>
        <w:widowControl/>
        <w:wordWrap/>
        <w:autoSpaceDE/>
        <w:autoSpaceDN/>
        <w:rPr>
          <w:rFonts w:ascii="Palatino Linotype" w:hAnsi="Palatino Linotype" w:cs="Times New Roman"/>
          <w:sz w:val="22"/>
        </w:rPr>
      </w:pPr>
      <w:r w:rsidRPr="00465388">
        <w:rPr>
          <w:rFonts w:ascii="Palatino Linotype" w:hAnsi="Palatino Linotype" w:cs="Times New Roman"/>
          <w:color w:val="2A2A2A"/>
          <w:sz w:val="22"/>
          <w:shd w:val="clear" w:color="auto" w:fill="FFFFFF"/>
        </w:rPr>
        <w:t xml:space="preserve">* </w:t>
      </w:r>
      <w:r w:rsidR="008B0D3A" w:rsidRPr="00465388">
        <w:rPr>
          <w:rFonts w:ascii="Palatino Linotype" w:hAnsi="Palatino Linotype" w:cs="Times New Roman"/>
          <w:color w:val="2A2A2A"/>
          <w:sz w:val="22"/>
          <w:shd w:val="clear" w:color="auto" w:fill="FFFFFF"/>
        </w:rPr>
        <w:t>E</w:t>
      </w:r>
      <w:r w:rsidRPr="00465388">
        <w:rPr>
          <w:rFonts w:ascii="Palatino Linotype" w:hAnsi="Palatino Linotype" w:cs="Times New Roman"/>
          <w:color w:val="2A2A2A"/>
          <w:sz w:val="22"/>
          <w:shd w:val="clear" w:color="auto" w:fill="FFFFFF"/>
        </w:rPr>
        <w:t>fficiency</w:t>
      </w:r>
      <w:r w:rsidR="00E1702C">
        <w:rPr>
          <w:rFonts w:ascii="Palatino Linotype" w:hAnsi="Palatino Linotype" w:cs="Times New Roman"/>
          <w:color w:val="2A2A2A"/>
          <w:sz w:val="22"/>
          <w:shd w:val="clear" w:color="auto" w:fill="FFFFFF"/>
        </w:rPr>
        <w:t xml:space="preserve"> (%)</w:t>
      </w:r>
      <w:r w:rsidRPr="00465388">
        <w:rPr>
          <w:rFonts w:ascii="Palatino Linotype" w:hAnsi="Palatino Linotype" w:cs="Times New Roman"/>
          <w:color w:val="2A2A2A"/>
          <w:sz w:val="22"/>
          <w:shd w:val="clear" w:color="auto" w:fill="FFFFFF"/>
        </w:rPr>
        <w:t xml:space="preserve"> = </w:t>
      </w:r>
      <w:r w:rsidR="005248C0">
        <w:rPr>
          <w:rFonts w:ascii="Palatino Linotype" w:hAnsi="Palatino Linotype" w:cs="Times New Roman"/>
          <w:color w:val="2A2A2A"/>
          <w:sz w:val="22"/>
          <w:shd w:val="clear" w:color="auto" w:fill="FFFFFF"/>
        </w:rPr>
        <w:t>(</w:t>
      </w:r>
      <w:r w:rsidRPr="00465388">
        <w:rPr>
          <w:rFonts w:ascii="Palatino Linotype" w:hAnsi="Palatino Linotype" w:cs="Times New Roman"/>
          <w:color w:val="2A2A2A"/>
          <w:sz w:val="22"/>
          <w:shd w:val="clear" w:color="auto" w:fill="FFFFFF"/>
        </w:rPr>
        <w:t>10</w:t>
      </w:r>
      <w:r w:rsidRPr="00465388">
        <w:rPr>
          <w:rFonts w:ascii="Palatino Linotype" w:hAnsi="Palatino Linotype" w:cs="Arial"/>
          <w:color w:val="2A2A2A"/>
          <w:sz w:val="22"/>
          <w:bdr w:val="none" w:sz="0" w:space="0" w:color="auto" w:frame="1"/>
          <w:shd w:val="clear" w:color="auto" w:fill="FFFFFF"/>
          <w:vertAlign w:val="superscript"/>
        </w:rPr>
        <w:t>−1/slope</w:t>
      </w:r>
      <w:r w:rsidRPr="00465388">
        <w:rPr>
          <w:rFonts w:ascii="Palatino Linotype" w:hAnsi="Palatino Linotype" w:cs="Times New Roman"/>
          <w:color w:val="2A2A2A"/>
          <w:sz w:val="22"/>
          <w:shd w:val="clear" w:color="auto" w:fill="FFFFFF"/>
        </w:rPr>
        <w:t> </w:t>
      </w:r>
      <w:r w:rsidR="005248C0">
        <w:rPr>
          <w:rFonts w:ascii="Palatino Linotype" w:hAnsi="Palatino Linotype" w:cs="Times New Roman"/>
          <w:color w:val="2A2A2A"/>
          <w:sz w:val="22"/>
          <w:shd w:val="clear" w:color="auto" w:fill="FFFFFF"/>
        </w:rPr>
        <w:t>–</w:t>
      </w:r>
      <w:r w:rsidRPr="00465388">
        <w:rPr>
          <w:rFonts w:ascii="Palatino Linotype" w:hAnsi="Palatino Linotype" w:cs="Times New Roman"/>
          <w:color w:val="2A2A2A"/>
          <w:sz w:val="22"/>
          <w:shd w:val="clear" w:color="auto" w:fill="FFFFFF"/>
        </w:rPr>
        <w:t xml:space="preserve"> 1</w:t>
      </w:r>
      <w:r w:rsidR="005248C0">
        <w:rPr>
          <w:rFonts w:ascii="Palatino Linotype" w:hAnsi="Palatino Linotype" w:cs="Times New Roman"/>
          <w:color w:val="2A2A2A"/>
          <w:sz w:val="22"/>
          <w:shd w:val="clear" w:color="auto" w:fill="FFFFFF"/>
        </w:rPr>
        <w:t xml:space="preserve">) </w:t>
      </w:r>
      <w:r w:rsidR="0048322D">
        <w:rPr>
          <w:rFonts w:ascii="Palatino Linotype" w:hAnsi="Palatino Linotype" w:cs="Times New Roman"/>
          <w:color w:val="2A2A2A"/>
          <w:sz w:val="22"/>
          <w:shd w:val="clear" w:color="auto" w:fill="FFFFFF"/>
        </w:rPr>
        <w:t>X</w:t>
      </w:r>
      <w:r w:rsidR="005248C0">
        <w:rPr>
          <w:rFonts w:ascii="Palatino Linotype" w:hAnsi="Palatino Linotype" w:cs="Times New Roman"/>
          <w:color w:val="2A2A2A"/>
          <w:sz w:val="22"/>
          <w:shd w:val="clear" w:color="auto" w:fill="FFFFFF"/>
        </w:rPr>
        <w:t xml:space="preserve"> 100</w:t>
      </w:r>
    </w:p>
    <w:sectPr w:rsidR="00785958" w:rsidRPr="00465388" w:rsidSect="009D1211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3C846" w14:textId="77777777" w:rsidR="003D50B4" w:rsidRDefault="003D50B4" w:rsidP="009760A4">
      <w:pPr>
        <w:spacing w:after="0" w:line="240" w:lineRule="auto"/>
      </w:pPr>
      <w:r>
        <w:separator/>
      </w:r>
    </w:p>
  </w:endnote>
  <w:endnote w:type="continuationSeparator" w:id="0">
    <w:p w14:paraId="0A441015" w14:textId="77777777" w:rsidR="003D50B4" w:rsidRDefault="003D50B4" w:rsidP="00976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628EA" w14:textId="77777777" w:rsidR="003D50B4" w:rsidRDefault="003D50B4" w:rsidP="009760A4">
      <w:pPr>
        <w:spacing w:after="0" w:line="240" w:lineRule="auto"/>
      </w:pPr>
      <w:r>
        <w:separator/>
      </w:r>
    </w:p>
  </w:footnote>
  <w:footnote w:type="continuationSeparator" w:id="0">
    <w:p w14:paraId="69C17B03" w14:textId="77777777" w:rsidR="003D50B4" w:rsidRDefault="003D50B4" w:rsidP="00976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C10EB"/>
    <w:multiLevelType w:val="hybridMultilevel"/>
    <w:tmpl w:val="6C1A857E"/>
    <w:lvl w:ilvl="0" w:tplc="B3740282">
      <w:start w:val="100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MDPI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1&lt;/EnableBibliographyCategories&gt;&lt;/ENLayout&gt;"/>
    <w:docVar w:name="EN.Libraries" w:val="&lt;Libraries&gt;&lt;item db-id=&quot;tatetaawwwe5a2ewteqxvftcfs2ae9zfxa59&quot;&gt;RB-WGCNA&lt;record-ids&gt;&lt;item&gt;96&lt;/item&gt;&lt;/record-ids&gt;&lt;/item&gt;&lt;/Libraries&gt;"/>
    <w:docVar w:name="EN.ReferenceGroups" w:val="&lt;reference-groups&gt;&lt;reference-group&gt;&lt;kind&gt;1&lt;/kind&gt;&lt;heading&gt;Primary Sources&lt;/heading&gt;&lt;alignment&gt;-1&lt;/alignment&gt;&lt;records&gt;&lt;/records&gt;&lt;/reference-group&gt;&lt;reference-group&gt;&lt;kind&gt;1&lt;/kind&gt;&lt;heading&gt;Secondary Sources&lt;/heading&gt;&lt;alignment&gt;-1&lt;/alignment&gt;&lt;records&gt;&lt;/records&gt;&lt;/reference-group&gt;&lt;/reference-groups&gt;"/>
  </w:docVars>
  <w:rsids>
    <w:rsidRoot w:val="009D1211"/>
    <w:rsid w:val="00011AF9"/>
    <w:rsid w:val="00016506"/>
    <w:rsid w:val="00017E76"/>
    <w:rsid w:val="00031471"/>
    <w:rsid w:val="000516C5"/>
    <w:rsid w:val="000865AF"/>
    <w:rsid w:val="00094ABC"/>
    <w:rsid w:val="000A5AAF"/>
    <w:rsid w:val="000B28DF"/>
    <w:rsid w:val="000D68B3"/>
    <w:rsid w:val="000E5D19"/>
    <w:rsid w:val="000F1D1E"/>
    <w:rsid w:val="00115D19"/>
    <w:rsid w:val="0013329F"/>
    <w:rsid w:val="00193657"/>
    <w:rsid w:val="001B5218"/>
    <w:rsid w:val="001C0790"/>
    <w:rsid w:val="001C7A21"/>
    <w:rsid w:val="001E476E"/>
    <w:rsid w:val="00204EAB"/>
    <w:rsid w:val="00206B57"/>
    <w:rsid w:val="00212BCA"/>
    <w:rsid w:val="002147F1"/>
    <w:rsid w:val="00224442"/>
    <w:rsid w:val="0027243B"/>
    <w:rsid w:val="00273B81"/>
    <w:rsid w:val="00292AC5"/>
    <w:rsid w:val="00297380"/>
    <w:rsid w:val="002C3692"/>
    <w:rsid w:val="002F75EE"/>
    <w:rsid w:val="003068DD"/>
    <w:rsid w:val="003266A7"/>
    <w:rsid w:val="003A0701"/>
    <w:rsid w:val="003B5E77"/>
    <w:rsid w:val="003C0561"/>
    <w:rsid w:val="003D50B4"/>
    <w:rsid w:val="003E11ED"/>
    <w:rsid w:val="003E5141"/>
    <w:rsid w:val="004306FD"/>
    <w:rsid w:val="00440853"/>
    <w:rsid w:val="00446AAB"/>
    <w:rsid w:val="00465388"/>
    <w:rsid w:val="0048322D"/>
    <w:rsid w:val="00485D9C"/>
    <w:rsid w:val="004A692C"/>
    <w:rsid w:val="004A73BB"/>
    <w:rsid w:val="004B4F79"/>
    <w:rsid w:val="004D1030"/>
    <w:rsid w:val="005034EC"/>
    <w:rsid w:val="00504CCD"/>
    <w:rsid w:val="005064C9"/>
    <w:rsid w:val="00510E06"/>
    <w:rsid w:val="005248C0"/>
    <w:rsid w:val="005606AE"/>
    <w:rsid w:val="005741C9"/>
    <w:rsid w:val="00585BA3"/>
    <w:rsid w:val="005D2912"/>
    <w:rsid w:val="005E3FCF"/>
    <w:rsid w:val="005F74F4"/>
    <w:rsid w:val="00603C9C"/>
    <w:rsid w:val="00634EC6"/>
    <w:rsid w:val="00666252"/>
    <w:rsid w:val="00686893"/>
    <w:rsid w:val="006A1437"/>
    <w:rsid w:val="006A267D"/>
    <w:rsid w:val="006B4940"/>
    <w:rsid w:val="006C426A"/>
    <w:rsid w:val="006D2579"/>
    <w:rsid w:val="006D29D7"/>
    <w:rsid w:val="006E299D"/>
    <w:rsid w:val="006F0C3C"/>
    <w:rsid w:val="00720FE1"/>
    <w:rsid w:val="00770948"/>
    <w:rsid w:val="007776E8"/>
    <w:rsid w:val="00785958"/>
    <w:rsid w:val="00791C3D"/>
    <w:rsid w:val="007A2247"/>
    <w:rsid w:val="007B2212"/>
    <w:rsid w:val="007B62AE"/>
    <w:rsid w:val="007B6DB9"/>
    <w:rsid w:val="007C02C2"/>
    <w:rsid w:val="007D6A96"/>
    <w:rsid w:val="007E7CA1"/>
    <w:rsid w:val="007F5F43"/>
    <w:rsid w:val="008046FD"/>
    <w:rsid w:val="008231D6"/>
    <w:rsid w:val="008B0D3A"/>
    <w:rsid w:val="008B648B"/>
    <w:rsid w:val="008B7335"/>
    <w:rsid w:val="008C1A08"/>
    <w:rsid w:val="008D1CEA"/>
    <w:rsid w:val="008D3AA5"/>
    <w:rsid w:val="008D54A2"/>
    <w:rsid w:val="00906813"/>
    <w:rsid w:val="0091439A"/>
    <w:rsid w:val="009279E8"/>
    <w:rsid w:val="009356DB"/>
    <w:rsid w:val="00960423"/>
    <w:rsid w:val="009645EB"/>
    <w:rsid w:val="009760A4"/>
    <w:rsid w:val="009D002E"/>
    <w:rsid w:val="009D1211"/>
    <w:rsid w:val="00A00AF1"/>
    <w:rsid w:val="00A03B5F"/>
    <w:rsid w:val="00A10DEE"/>
    <w:rsid w:val="00A37CC9"/>
    <w:rsid w:val="00A6228C"/>
    <w:rsid w:val="00A84FEE"/>
    <w:rsid w:val="00A906A5"/>
    <w:rsid w:val="00AB02AB"/>
    <w:rsid w:val="00AB0F4E"/>
    <w:rsid w:val="00B112CC"/>
    <w:rsid w:val="00B117CB"/>
    <w:rsid w:val="00B42E55"/>
    <w:rsid w:val="00BB2B6D"/>
    <w:rsid w:val="00BC6868"/>
    <w:rsid w:val="00BC73F3"/>
    <w:rsid w:val="00BD5B70"/>
    <w:rsid w:val="00BD5E0C"/>
    <w:rsid w:val="00C27A18"/>
    <w:rsid w:val="00C34673"/>
    <w:rsid w:val="00C63D43"/>
    <w:rsid w:val="00C71902"/>
    <w:rsid w:val="00CD75BD"/>
    <w:rsid w:val="00CE6BD3"/>
    <w:rsid w:val="00CF63E1"/>
    <w:rsid w:val="00D10CF3"/>
    <w:rsid w:val="00D2256B"/>
    <w:rsid w:val="00D55E08"/>
    <w:rsid w:val="00D65FB0"/>
    <w:rsid w:val="00D722A9"/>
    <w:rsid w:val="00D7384E"/>
    <w:rsid w:val="00DB1EB8"/>
    <w:rsid w:val="00DE0011"/>
    <w:rsid w:val="00DF0F87"/>
    <w:rsid w:val="00DF1AE3"/>
    <w:rsid w:val="00E05E17"/>
    <w:rsid w:val="00E1702C"/>
    <w:rsid w:val="00E23015"/>
    <w:rsid w:val="00E647F4"/>
    <w:rsid w:val="00E7699C"/>
    <w:rsid w:val="00E7744A"/>
    <w:rsid w:val="00E77A63"/>
    <w:rsid w:val="00E87FA5"/>
    <w:rsid w:val="00EC687E"/>
    <w:rsid w:val="00ED4D2D"/>
    <w:rsid w:val="00EE142A"/>
    <w:rsid w:val="00F4769C"/>
    <w:rsid w:val="00FA5C4B"/>
    <w:rsid w:val="00FE56B8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16B28A"/>
  <w15:chartTrackingRefBased/>
  <w15:docId w15:val="{9872F355-78AD-4CF9-8618-94F99DBD8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unhideWhenUsed/>
    <w:rsid w:val="009D1211"/>
    <w:pPr>
      <w:widowControl/>
      <w:wordWrap/>
      <w:autoSpaceDE/>
      <w:autoSpaceDN/>
      <w:jc w:val="left"/>
    </w:pPr>
    <w:rPr>
      <w:kern w:val="0"/>
      <w:sz w:val="22"/>
    </w:rPr>
  </w:style>
  <w:style w:type="character" w:customStyle="1" w:styleId="CommentTextChar">
    <w:name w:val="Comment Text Char"/>
    <w:basedOn w:val="DefaultParagraphFont"/>
    <w:link w:val="CommentText"/>
    <w:semiHidden/>
    <w:rsid w:val="009D1211"/>
    <w:rPr>
      <w:kern w:val="0"/>
      <w:sz w:val="22"/>
    </w:rPr>
  </w:style>
  <w:style w:type="table" w:styleId="TableGrid">
    <w:name w:val="Table Grid"/>
    <w:basedOn w:val="TableNormal"/>
    <w:uiPriority w:val="39"/>
    <w:rsid w:val="009D1211"/>
    <w:pPr>
      <w:spacing w:after="0" w:line="240" w:lineRule="auto"/>
      <w:jc w:val="left"/>
    </w:pPr>
    <w:rPr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9D1211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21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211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60A4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760A4"/>
  </w:style>
  <w:style w:type="paragraph" w:styleId="Footer">
    <w:name w:val="footer"/>
    <w:basedOn w:val="Normal"/>
    <w:link w:val="FooterChar"/>
    <w:uiPriority w:val="99"/>
    <w:unhideWhenUsed/>
    <w:rsid w:val="009760A4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760A4"/>
  </w:style>
  <w:style w:type="paragraph" w:customStyle="1" w:styleId="EndNoteBibliographyTitle">
    <w:name w:val="EndNote Bibliography Title"/>
    <w:basedOn w:val="Normal"/>
    <w:link w:val="EndNoteBibliographyTitleChar"/>
    <w:rsid w:val="009645EB"/>
    <w:pPr>
      <w:spacing w:after="0"/>
      <w:jc w:val="center"/>
    </w:pPr>
    <w:rPr>
      <w:rFonts w:ascii="Malgun Gothic" w:eastAsia="Malgun Gothic" w:hAnsi="Malgun Gothic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645EB"/>
    <w:rPr>
      <w:rFonts w:ascii="Malgun Gothic" w:eastAsia="Malgun Gothic" w:hAnsi="Malgun Gothic"/>
      <w:noProof/>
    </w:rPr>
  </w:style>
  <w:style w:type="paragraph" w:customStyle="1" w:styleId="EndNoteBibliography">
    <w:name w:val="EndNote Bibliography"/>
    <w:basedOn w:val="Normal"/>
    <w:link w:val="EndNoteBibliographyChar"/>
    <w:rsid w:val="009645EB"/>
    <w:pPr>
      <w:spacing w:line="240" w:lineRule="auto"/>
    </w:pPr>
    <w:rPr>
      <w:rFonts w:ascii="Malgun Gothic" w:eastAsia="Malgun Gothic" w:hAnsi="Malgun Gothic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645EB"/>
    <w:rPr>
      <w:rFonts w:ascii="Malgun Gothic" w:eastAsia="Malgun Gothic" w:hAnsi="Malgun Gothic"/>
      <w:noProof/>
    </w:rPr>
  </w:style>
  <w:style w:type="paragraph" w:customStyle="1" w:styleId="EndNoteCategoryHeading">
    <w:name w:val="EndNote Category Heading"/>
    <w:basedOn w:val="Normal"/>
    <w:link w:val="EndNoteCategoryHeadingChar"/>
    <w:rsid w:val="009645EB"/>
    <w:pPr>
      <w:spacing w:before="120" w:after="120"/>
      <w:jc w:val="left"/>
    </w:pPr>
    <w:rPr>
      <w:b/>
      <w:noProof/>
    </w:rPr>
  </w:style>
  <w:style w:type="character" w:customStyle="1" w:styleId="EndNoteCategoryHeadingChar">
    <w:name w:val="EndNote Category Heading Char"/>
    <w:basedOn w:val="DefaultParagraphFont"/>
    <w:link w:val="EndNoteCategoryHeading"/>
    <w:rsid w:val="009645EB"/>
    <w:rPr>
      <w:b/>
      <w:noProof/>
    </w:rPr>
  </w:style>
  <w:style w:type="paragraph" w:styleId="ListParagraph">
    <w:name w:val="List Paragraph"/>
    <w:basedOn w:val="Normal"/>
    <w:uiPriority w:val="34"/>
    <w:qFormat/>
    <w:rsid w:val="0091439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BABBF-3C57-4B87-970E-34A796DFA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1311</Characters>
  <Application>Microsoft Office Word</Application>
  <DocSecurity>0</DocSecurity>
  <Lines>217</Lines>
  <Paragraphs>107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lge</dc:creator>
  <cp:keywords/>
  <dc:description/>
  <cp:lastModifiedBy>MDPI</cp:lastModifiedBy>
  <cp:revision>3</cp:revision>
  <dcterms:created xsi:type="dcterms:W3CDTF">2020-02-27T09:04:00Z</dcterms:created>
  <dcterms:modified xsi:type="dcterms:W3CDTF">2020-03-02T07:51:00Z</dcterms:modified>
</cp:coreProperties>
</file>