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BB" w:rsidRPr="00D165BB" w:rsidRDefault="00D165BB" w:rsidP="00D165BB">
      <w:pPr>
        <w:pStyle w:val="Heading2"/>
        <w:numPr>
          <w:ilvl w:val="0"/>
          <w:numId w:val="0"/>
        </w:numPr>
        <w:spacing w:before="0" w:after="0" w:line="360" w:lineRule="auto"/>
        <w:rPr>
          <w:rFonts w:ascii="Palatino Linotype" w:eastAsia="等线" w:hAnsi="Palatino Linotype"/>
          <w:sz w:val="20"/>
          <w:lang w:eastAsia="zh-CN"/>
        </w:rPr>
      </w:pPr>
      <w:bookmarkStart w:id="0" w:name="_GoBack"/>
      <w:r w:rsidRPr="00D165BB">
        <w:rPr>
          <w:rFonts w:ascii="Palatino Linotype" w:eastAsia="等线" w:hAnsi="Palatino Linotype" w:hint="eastAsia"/>
          <w:sz w:val="20"/>
          <w:lang w:eastAsia="zh-CN"/>
        </w:rPr>
        <w:t>Legends of s</w:t>
      </w:r>
      <w:r w:rsidRPr="00D165BB">
        <w:rPr>
          <w:rFonts w:ascii="Palatino Linotype" w:hAnsi="Palatino Linotype"/>
          <w:sz w:val="20"/>
        </w:rPr>
        <w:t xml:space="preserve">upplementary </w:t>
      </w:r>
      <w:r w:rsidRPr="00D165BB">
        <w:rPr>
          <w:rFonts w:ascii="Palatino Linotype" w:eastAsia="等线" w:hAnsi="Palatino Linotype" w:hint="eastAsia"/>
          <w:sz w:val="20"/>
          <w:lang w:eastAsia="zh-CN"/>
        </w:rPr>
        <w:t>file</w:t>
      </w:r>
      <w:r w:rsidRPr="00D165BB">
        <w:rPr>
          <w:rFonts w:ascii="Palatino Linotype" w:hAnsi="Palatino Linotype"/>
          <w:sz w:val="20"/>
        </w:rPr>
        <w:t>s</w:t>
      </w:r>
    </w:p>
    <w:bookmarkEnd w:id="0"/>
    <w:p w:rsidR="00D165BB" w:rsidRPr="00D165BB" w:rsidRDefault="00D165BB" w:rsidP="00D165BB">
      <w:pPr>
        <w:spacing w:line="360" w:lineRule="auto"/>
        <w:rPr>
          <w:rFonts w:ascii="Palatino Linotype" w:hAnsi="Palatino Linotype"/>
          <w:sz w:val="20"/>
          <w:lang w:eastAsia="zh-CN"/>
        </w:rPr>
      </w:pPr>
      <w:r w:rsidRPr="00D165BB">
        <w:rPr>
          <w:rFonts w:ascii="Palatino Linotype" w:hAnsi="Palatino Linotype"/>
          <w:sz w:val="20"/>
          <w:lang w:eastAsia="zh-CN"/>
        </w:rPr>
        <w:t xml:space="preserve">Figure </w:t>
      </w:r>
      <w:r w:rsidRPr="00D165BB">
        <w:rPr>
          <w:rFonts w:ascii="Palatino Linotype" w:hAnsi="Palatino Linotype" w:hint="eastAsia"/>
          <w:sz w:val="20"/>
          <w:lang w:eastAsia="zh-CN"/>
        </w:rPr>
        <w:t>S</w:t>
      </w:r>
      <w:r w:rsidRPr="00D165BB">
        <w:rPr>
          <w:rFonts w:ascii="Palatino Linotype" w:hAnsi="Palatino Linotype"/>
          <w:sz w:val="20"/>
          <w:lang w:eastAsia="zh-CN"/>
        </w:rPr>
        <w:fldChar w:fldCharType="begin"/>
      </w:r>
      <w:r w:rsidRPr="00D165BB">
        <w:rPr>
          <w:rFonts w:ascii="Palatino Linotype" w:hAnsi="Palatino Linotype"/>
          <w:sz w:val="20"/>
          <w:lang w:eastAsia="zh-CN"/>
        </w:rPr>
        <w:instrText xml:space="preserve"> SEQ Figure \* ARABIC </w:instrText>
      </w:r>
      <w:r w:rsidRPr="00D165BB">
        <w:rPr>
          <w:rFonts w:ascii="Palatino Linotype" w:hAnsi="Palatino Linotype"/>
          <w:sz w:val="20"/>
          <w:lang w:eastAsia="zh-CN"/>
        </w:rPr>
        <w:fldChar w:fldCharType="separate"/>
      </w:r>
      <w:r w:rsidRPr="00D165BB">
        <w:rPr>
          <w:rFonts w:ascii="Palatino Linotype" w:hAnsi="Palatino Linotype"/>
          <w:sz w:val="20"/>
          <w:lang w:eastAsia="zh-CN"/>
        </w:rPr>
        <w:t>1</w:t>
      </w:r>
      <w:r w:rsidRPr="00D165BB">
        <w:rPr>
          <w:rFonts w:ascii="Palatino Linotype" w:hAnsi="Palatino Linotype"/>
          <w:sz w:val="20"/>
          <w:lang w:eastAsia="zh-CN"/>
        </w:rPr>
        <w:fldChar w:fldCharType="end"/>
      </w:r>
      <w:r w:rsidRPr="00D165BB">
        <w:rPr>
          <w:rFonts w:ascii="Palatino Linotype" w:hAnsi="Palatino Linotype"/>
          <w:sz w:val="20"/>
          <w:lang w:eastAsia="zh-CN"/>
        </w:rPr>
        <w:t>. Changes in germination and imbibition of oat seeds.</w:t>
      </w:r>
    </w:p>
    <w:p w:rsidR="00D165BB" w:rsidRPr="00D165BB" w:rsidRDefault="00D165BB" w:rsidP="00D165BB">
      <w:pPr>
        <w:spacing w:line="360" w:lineRule="auto"/>
        <w:rPr>
          <w:rFonts w:ascii="Palatino Linotype" w:hAnsi="Palatino Linotype"/>
          <w:sz w:val="20"/>
          <w:lang w:eastAsia="zh-CN"/>
        </w:rPr>
      </w:pPr>
      <w:r w:rsidRPr="00D165BB">
        <w:rPr>
          <w:rFonts w:ascii="Palatino Linotype" w:hAnsi="Palatino Linotype"/>
          <w:sz w:val="20"/>
          <w:lang w:eastAsia="zh-CN"/>
        </w:rPr>
        <w:t xml:space="preserve">Figure </w:t>
      </w:r>
      <w:r w:rsidRPr="00D165BB">
        <w:rPr>
          <w:rFonts w:ascii="Palatino Linotype" w:hAnsi="Palatino Linotype" w:hint="eastAsia"/>
          <w:sz w:val="20"/>
          <w:lang w:eastAsia="zh-CN"/>
        </w:rPr>
        <w:t>S2</w:t>
      </w:r>
      <w:r w:rsidRPr="00D165BB">
        <w:rPr>
          <w:rFonts w:ascii="Palatino Linotype" w:hAnsi="Palatino Linotype"/>
          <w:sz w:val="20"/>
          <w:lang w:eastAsia="zh-CN"/>
        </w:rPr>
        <w:t>. Function annotation of the total identified proteins in oat’s embryos under aging and melatonin priming.</w:t>
      </w:r>
    </w:p>
    <w:p w:rsidR="00D165BB" w:rsidRPr="00D165BB" w:rsidRDefault="00D165BB" w:rsidP="00D165BB">
      <w:pPr>
        <w:spacing w:line="360" w:lineRule="auto"/>
        <w:rPr>
          <w:rStyle w:val="fontstyle01"/>
          <w:rFonts w:ascii="Palatino Linotype" w:hAnsi="Palatino Linotype" w:hint="eastAsia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1</w:t>
      </w:r>
      <w:r w:rsidRPr="00D165BB">
        <w:rPr>
          <w:rFonts w:ascii="Palatino Linotype" w:hAnsi="Palatino Linotype"/>
          <w:bCs/>
          <w:sz w:val="20"/>
          <w:szCs w:val="24"/>
        </w:rPr>
        <w:t>. Total identified proteins by the iTRAQ-based quantitative proteome.</w:t>
      </w:r>
    </w:p>
    <w:p w:rsidR="00D165BB" w:rsidRPr="00D165BB" w:rsidRDefault="00D165BB" w:rsidP="00D165BB">
      <w:pPr>
        <w:spacing w:line="360" w:lineRule="auto"/>
        <w:rPr>
          <w:rStyle w:val="fontstyle01"/>
          <w:rFonts w:ascii="Palatino Linotype" w:hAnsi="Palatino Linotype" w:hint="eastAsia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2</w:t>
      </w:r>
      <w:r w:rsidRPr="00D165BB">
        <w:rPr>
          <w:rFonts w:ascii="Palatino Linotype" w:hAnsi="Palatino Linotype"/>
          <w:bCs/>
          <w:sz w:val="20"/>
          <w:szCs w:val="24"/>
        </w:rPr>
        <w:t xml:space="preserve">. The DEPs </w:t>
      </w:r>
      <w:r w:rsidRPr="00D165BB">
        <w:rPr>
          <w:rFonts w:ascii="Palatino Linotype" w:hAnsi="Palatino Linotype"/>
          <w:sz w:val="20"/>
          <w:szCs w:val="24"/>
        </w:rPr>
        <w:t xml:space="preserve">quantified in </w:t>
      </w:r>
      <w:r w:rsidRPr="00D165BB">
        <w:rPr>
          <w:rFonts w:ascii="Palatino Linotype" w:eastAsia="黑体" w:hAnsi="Palatino Linotype"/>
          <w:sz w:val="20"/>
          <w:szCs w:val="24"/>
        </w:rPr>
        <w:t>embryo of oat seeds under aging process.</w:t>
      </w:r>
    </w:p>
    <w:p w:rsidR="00D165BB" w:rsidRPr="00D165BB" w:rsidRDefault="00D165BB" w:rsidP="00D165BB">
      <w:pPr>
        <w:spacing w:line="360" w:lineRule="auto"/>
        <w:rPr>
          <w:rStyle w:val="fontstyle01"/>
          <w:rFonts w:ascii="Palatino Linotype" w:hAnsi="Palatino Linotype" w:hint="eastAsia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3</w:t>
      </w:r>
      <w:r w:rsidRPr="00D165BB">
        <w:rPr>
          <w:rFonts w:ascii="Palatino Linotype" w:hAnsi="Palatino Linotype"/>
          <w:bCs/>
          <w:sz w:val="20"/>
          <w:szCs w:val="24"/>
        </w:rPr>
        <w:t xml:space="preserve">. The DEPs </w:t>
      </w:r>
      <w:r w:rsidRPr="00D165BB">
        <w:rPr>
          <w:rFonts w:ascii="Palatino Linotype" w:hAnsi="Palatino Linotype"/>
          <w:sz w:val="20"/>
          <w:szCs w:val="24"/>
        </w:rPr>
        <w:t xml:space="preserve">quantified in </w:t>
      </w:r>
      <w:r w:rsidRPr="00D165BB">
        <w:rPr>
          <w:rFonts w:ascii="Palatino Linotype" w:eastAsia="黑体" w:hAnsi="Palatino Linotype"/>
          <w:sz w:val="20"/>
          <w:szCs w:val="24"/>
        </w:rPr>
        <w:t>embryo of oat seeds under melatonin priming process.</w:t>
      </w:r>
    </w:p>
    <w:p w:rsidR="00D165BB" w:rsidRPr="00D165BB" w:rsidRDefault="00D165BB" w:rsidP="00D165BB">
      <w:pPr>
        <w:spacing w:line="360" w:lineRule="auto"/>
        <w:rPr>
          <w:rStyle w:val="fontstyle01"/>
          <w:rFonts w:ascii="Palatino Linotype" w:hAnsi="Palatino Linotype" w:hint="eastAsia"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4</w:t>
      </w:r>
      <w:r w:rsidRPr="00D165BB">
        <w:rPr>
          <w:rFonts w:ascii="Palatino Linotype" w:hAnsi="Palatino Linotype"/>
          <w:bCs/>
          <w:sz w:val="20"/>
          <w:szCs w:val="24"/>
        </w:rPr>
        <w:t>.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</w:t>
      </w:r>
      <w:r w:rsidRPr="00D165BB">
        <w:rPr>
          <w:rFonts w:ascii="Palatino Linotype" w:hAnsi="Palatino Linotype" w:hint="eastAsia"/>
          <w:sz w:val="20"/>
          <w:szCs w:val="24"/>
        </w:rPr>
        <w:t xml:space="preserve">Totally </w:t>
      </w:r>
      <w:r w:rsidRPr="00D165BB">
        <w:rPr>
          <w:rFonts w:ascii="Palatino Linotype" w:hAnsi="Palatino Linotype"/>
          <w:sz w:val="20"/>
          <w:szCs w:val="24"/>
        </w:rPr>
        <w:t xml:space="preserve">70 DEPs were shared by aging and melatonin priming processes </w:t>
      </w:r>
      <w:r w:rsidRPr="00D165BB">
        <w:rPr>
          <w:rFonts w:ascii="Palatino Linotype" w:hAnsi="Palatino Linotype" w:hint="eastAsia"/>
          <w:sz w:val="20"/>
          <w:szCs w:val="24"/>
        </w:rPr>
        <w:t xml:space="preserve">and their </w:t>
      </w:r>
      <w:r w:rsidRPr="00D165BB">
        <w:rPr>
          <w:rFonts w:ascii="Palatino Linotype" w:hAnsi="Palatino Linotype"/>
          <w:sz w:val="20"/>
          <w:szCs w:val="24"/>
        </w:rPr>
        <w:t>different expression profiles</w:t>
      </w:r>
      <w:r w:rsidRPr="00D165BB">
        <w:rPr>
          <w:rFonts w:ascii="Palatino Linotype" w:hAnsi="Palatino Linotype" w:hint="eastAsia"/>
          <w:sz w:val="20"/>
          <w:szCs w:val="24"/>
        </w:rPr>
        <w:t>.</w:t>
      </w:r>
    </w:p>
    <w:p w:rsidR="00D165BB" w:rsidRPr="00D165BB" w:rsidRDefault="00D165BB" w:rsidP="00D165BB">
      <w:pPr>
        <w:spacing w:line="360" w:lineRule="auto"/>
        <w:rPr>
          <w:rFonts w:ascii="Palatino Linotype" w:hAnsi="Palatino Linotype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5</w:t>
      </w:r>
      <w:r w:rsidRPr="00D165BB">
        <w:rPr>
          <w:rFonts w:ascii="Palatino Linotype" w:hAnsi="Palatino Linotype"/>
          <w:bCs/>
          <w:sz w:val="20"/>
          <w:szCs w:val="24"/>
        </w:rPr>
        <w:t>.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The </w:t>
      </w:r>
      <w:r w:rsidRPr="00D165BB">
        <w:rPr>
          <w:rFonts w:ascii="Palatino Linotype" w:hAnsi="Palatino Linotype"/>
          <w:bCs/>
          <w:sz w:val="20"/>
          <w:szCs w:val="24"/>
        </w:rPr>
        <w:t>DEPs with annotated function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and their </w:t>
      </w:r>
      <w:r w:rsidRPr="00D165BB">
        <w:rPr>
          <w:rFonts w:ascii="Palatino Linotype" w:hAnsi="Palatino Linotype"/>
          <w:bCs/>
          <w:sz w:val="20"/>
          <w:szCs w:val="24"/>
        </w:rPr>
        <w:t>expressed information assigned to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different </w:t>
      </w:r>
      <w:r w:rsidRPr="00D165BB">
        <w:rPr>
          <w:rFonts w:ascii="Palatino Linotype" w:hAnsi="Palatino Linotype"/>
          <w:bCs/>
          <w:sz w:val="20"/>
          <w:szCs w:val="24"/>
        </w:rPr>
        <w:t>categor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ies </w:t>
      </w:r>
      <w:r w:rsidRPr="00D165BB">
        <w:rPr>
          <w:rFonts w:ascii="Palatino Linotype" w:hAnsi="Palatino Linotype"/>
          <w:bCs/>
          <w:sz w:val="20"/>
          <w:szCs w:val="24"/>
        </w:rPr>
        <w:t>in oat’</w:t>
      </w:r>
      <w:r w:rsidRPr="00D165BB">
        <w:rPr>
          <w:rFonts w:ascii="Palatino Linotype" w:hAnsi="Palatino Linotype" w:hint="eastAsia"/>
          <w:bCs/>
          <w:sz w:val="20"/>
          <w:szCs w:val="24"/>
        </w:rPr>
        <w:t>s</w:t>
      </w:r>
      <w:r w:rsidRPr="00D165BB">
        <w:rPr>
          <w:rFonts w:ascii="Palatino Linotype" w:hAnsi="Palatino Linotype"/>
          <w:bCs/>
          <w:sz w:val="20"/>
          <w:szCs w:val="24"/>
        </w:rPr>
        <w:t xml:space="preserve"> embryo 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during </w:t>
      </w:r>
      <w:r w:rsidRPr="00D165BB">
        <w:rPr>
          <w:rFonts w:ascii="Palatino Linotype" w:hAnsi="Palatino Linotype"/>
          <w:bCs/>
          <w:sz w:val="20"/>
          <w:szCs w:val="24"/>
        </w:rPr>
        <w:t>aging and melatonin priming</w:t>
      </w:r>
      <w:r w:rsidRPr="00D165BB">
        <w:rPr>
          <w:rFonts w:ascii="Palatino Linotype" w:hAnsi="Palatino Linotype" w:hint="eastAsia"/>
          <w:bCs/>
          <w:sz w:val="20"/>
          <w:szCs w:val="24"/>
        </w:rPr>
        <w:t>.</w:t>
      </w:r>
    </w:p>
    <w:p w:rsidR="00D165BB" w:rsidRPr="00D165BB" w:rsidRDefault="00D165BB" w:rsidP="00D165BB">
      <w:pPr>
        <w:spacing w:line="360" w:lineRule="auto"/>
        <w:rPr>
          <w:rFonts w:ascii="Palatino Linotype" w:hAnsi="Palatino Linotype" w:hint="eastAsia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6</w:t>
      </w:r>
      <w:r w:rsidRPr="00D165BB">
        <w:rPr>
          <w:rFonts w:ascii="Palatino Linotype" w:hAnsi="Palatino Linotype"/>
          <w:bCs/>
          <w:sz w:val="20"/>
          <w:szCs w:val="24"/>
        </w:rPr>
        <w:t>.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The TOP10 </w:t>
      </w:r>
      <w:r w:rsidRPr="00D165BB">
        <w:rPr>
          <w:rFonts w:ascii="Palatino Linotype" w:hAnsi="Palatino Linotype"/>
          <w:bCs/>
          <w:sz w:val="20"/>
          <w:szCs w:val="24"/>
        </w:rPr>
        <w:t>KEGG pathways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 of DEPs </w:t>
      </w:r>
      <w:r w:rsidRPr="00D165BB">
        <w:rPr>
          <w:rFonts w:ascii="Palatino Linotype" w:hAnsi="Palatino Linotype"/>
          <w:bCs/>
          <w:sz w:val="20"/>
          <w:szCs w:val="24"/>
        </w:rPr>
        <w:t>in oat’</w:t>
      </w:r>
      <w:r w:rsidRPr="00D165BB">
        <w:rPr>
          <w:rFonts w:ascii="Palatino Linotype" w:hAnsi="Palatino Linotype" w:hint="eastAsia"/>
          <w:bCs/>
          <w:sz w:val="20"/>
          <w:szCs w:val="24"/>
        </w:rPr>
        <w:t>s</w:t>
      </w:r>
      <w:r w:rsidRPr="00D165BB">
        <w:rPr>
          <w:rFonts w:ascii="Palatino Linotype" w:hAnsi="Palatino Linotype"/>
          <w:bCs/>
          <w:sz w:val="20"/>
          <w:szCs w:val="24"/>
        </w:rPr>
        <w:t xml:space="preserve"> embryo </w:t>
      </w:r>
      <w:r w:rsidRPr="00D165BB">
        <w:rPr>
          <w:rFonts w:ascii="Palatino Linotype" w:hAnsi="Palatino Linotype" w:hint="eastAsia"/>
          <w:bCs/>
          <w:sz w:val="20"/>
          <w:szCs w:val="24"/>
        </w:rPr>
        <w:t xml:space="preserve">under </w:t>
      </w:r>
      <w:r w:rsidRPr="00D165BB">
        <w:rPr>
          <w:rFonts w:ascii="Palatino Linotype" w:hAnsi="Palatino Linotype"/>
          <w:bCs/>
          <w:sz w:val="20"/>
          <w:szCs w:val="24"/>
        </w:rPr>
        <w:t>aging and melatonin priming</w:t>
      </w:r>
      <w:r w:rsidRPr="00D165BB">
        <w:rPr>
          <w:rFonts w:ascii="Palatino Linotype" w:hAnsi="Palatino Linotype" w:hint="eastAsia"/>
          <w:bCs/>
          <w:sz w:val="20"/>
          <w:szCs w:val="24"/>
        </w:rPr>
        <w:t>.</w:t>
      </w:r>
    </w:p>
    <w:p w:rsidR="00646BFC" w:rsidRPr="00D165BB" w:rsidRDefault="00D165BB" w:rsidP="00D165BB">
      <w:pPr>
        <w:spacing w:line="360" w:lineRule="auto"/>
        <w:rPr>
          <w:rFonts w:ascii="Palatino Linotype" w:hAnsi="Palatino Linotype"/>
          <w:bCs/>
          <w:sz w:val="20"/>
          <w:szCs w:val="24"/>
          <w:lang w:eastAsia="zh-CN"/>
        </w:rPr>
      </w:pPr>
      <w:r w:rsidRPr="00D165BB">
        <w:rPr>
          <w:rFonts w:ascii="Palatino Linotype" w:hAnsi="Palatino Linotype" w:hint="eastAsia"/>
          <w:sz w:val="20"/>
          <w:lang w:eastAsia="zh-CN"/>
        </w:rPr>
        <w:t>Table S</w:t>
      </w:r>
      <w:r w:rsidRPr="00D165BB">
        <w:rPr>
          <w:rFonts w:ascii="Palatino Linotype" w:hAnsi="Palatino Linotype" w:hint="eastAsia"/>
          <w:bCs/>
          <w:sz w:val="20"/>
          <w:szCs w:val="24"/>
          <w:lang w:eastAsia="zh-CN"/>
        </w:rPr>
        <w:t>7</w:t>
      </w:r>
      <w:r w:rsidRPr="00D165BB">
        <w:rPr>
          <w:rFonts w:ascii="Palatino Linotype" w:hAnsi="Palatino Linotype"/>
          <w:bCs/>
          <w:sz w:val="20"/>
          <w:szCs w:val="24"/>
        </w:rPr>
        <w:t>. Primer sequences of qRT-PCR in this study.</w:t>
      </w:r>
    </w:p>
    <w:sectPr w:rsidR="00646BFC" w:rsidRPr="00D165BB" w:rsidSect="00D165B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9D" w:rsidRDefault="0032779D">
      <w:pPr>
        <w:spacing w:line="240" w:lineRule="auto"/>
      </w:pPr>
      <w:r>
        <w:separator/>
      </w:r>
    </w:p>
  </w:endnote>
  <w:endnote w:type="continuationSeparator" w:id="0">
    <w:p w:rsidR="0032779D" w:rsidRDefault="00327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ulliverRM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A71A3D" w:rsidRDefault="0004400E" w:rsidP="0004400E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8B308E" w:rsidRDefault="0004400E" w:rsidP="00EC23EC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 w:rsidR="00506BC0" w:rsidRPr="00506BC0">
      <w:rPr>
        <w:b/>
        <w:iCs/>
        <w:lang w:val="fr-CH"/>
      </w:rPr>
      <w:t>20</w:t>
    </w:r>
    <w:r w:rsidR="00EC23EC">
      <w:rPr>
        <w:b/>
        <w:iCs/>
        <w:lang w:val="fr-CH"/>
      </w:rPr>
      <w:t>20</w:t>
    </w:r>
    <w:r w:rsidR="00506BC0" w:rsidRPr="00506BC0">
      <w:rPr>
        <w:iCs/>
        <w:lang w:val="fr-CH"/>
      </w:rPr>
      <w:t xml:space="preserve">, </w:t>
    </w:r>
    <w:r w:rsidR="00506BC0" w:rsidRPr="00506BC0">
      <w:rPr>
        <w:i/>
        <w:iCs/>
        <w:lang w:val="fr-CH"/>
      </w:rPr>
      <w:t>2</w:t>
    </w:r>
    <w:r w:rsidR="00EC23EC">
      <w:rPr>
        <w:i/>
        <w:iCs/>
        <w:lang w:val="fr-CH"/>
      </w:rPr>
      <w:t>1</w:t>
    </w:r>
    <w:r w:rsidR="00506BC0" w:rsidRPr="00506BC0">
      <w:rPr>
        <w:iCs/>
        <w:lang w:val="fr-CH"/>
      </w:rPr>
      <w:t xml:space="preserve">, </w:t>
    </w:r>
    <w:r w:rsidR="000B74CE">
      <w:rPr>
        <w:iCs/>
        <w:lang w:val="fr-CH"/>
      </w:rPr>
      <w:t>x; doi: FOR PEER REVIEW</w:t>
    </w:r>
    <w:r w:rsidR="00CC7AAB" w:rsidRPr="008B308E">
      <w:rPr>
        <w:lang w:val="fr-CH"/>
      </w:rPr>
      <w:tab/>
    </w:r>
    <w:r w:rsidRPr="008B308E">
      <w:rPr>
        <w:lang w:val="fr-CH"/>
      </w:rPr>
      <w:t>www.mdpi.com/journal/</w:t>
    </w:r>
    <w:r>
      <w:t>ijms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9D" w:rsidRDefault="0032779D">
      <w:pPr>
        <w:spacing w:line="240" w:lineRule="auto"/>
      </w:pPr>
      <w:r>
        <w:separator/>
      </w:r>
    </w:p>
  </w:footnote>
  <w:footnote w:type="continuationSeparator" w:id="0">
    <w:p w:rsidR="0032779D" w:rsidRDefault="003277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Default="0004400E" w:rsidP="0004400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Pr="003257E1" w:rsidRDefault="0004400E" w:rsidP="00EC23EC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 w:rsidR="00506BC0" w:rsidRPr="00506BC0">
      <w:rPr>
        <w:rFonts w:ascii="Palatino Linotype" w:hAnsi="Palatino Linotype"/>
        <w:b/>
        <w:sz w:val="16"/>
      </w:rPr>
      <w:t>20</w:t>
    </w:r>
    <w:r w:rsidR="00EC23EC">
      <w:rPr>
        <w:rFonts w:ascii="Palatino Linotype" w:hAnsi="Palatino Linotype"/>
        <w:b/>
        <w:sz w:val="16"/>
      </w:rPr>
      <w:t>20</w:t>
    </w:r>
    <w:r w:rsidR="00506BC0" w:rsidRPr="00506BC0">
      <w:rPr>
        <w:rFonts w:ascii="Palatino Linotype" w:hAnsi="Palatino Linotype"/>
        <w:sz w:val="16"/>
      </w:rPr>
      <w:t xml:space="preserve">, </w:t>
    </w:r>
    <w:r w:rsidR="00506BC0" w:rsidRPr="00506BC0">
      <w:rPr>
        <w:rFonts w:ascii="Palatino Linotype" w:hAnsi="Palatino Linotype"/>
        <w:i/>
        <w:sz w:val="16"/>
      </w:rPr>
      <w:t>2</w:t>
    </w:r>
    <w:r w:rsidR="00EC23EC">
      <w:rPr>
        <w:rFonts w:ascii="Palatino Linotype" w:hAnsi="Palatino Linotype"/>
        <w:i/>
        <w:sz w:val="16"/>
      </w:rPr>
      <w:t>1</w:t>
    </w:r>
    <w:r w:rsidR="000B74CE">
      <w:rPr>
        <w:rFonts w:ascii="Palatino Linotype" w:hAnsi="Palatino Linotype"/>
        <w:sz w:val="16"/>
      </w:rPr>
      <w:t>, x FOR PEER REVIEW</w:t>
    </w:r>
    <w:r w:rsidR="00CC7AAB">
      <w:rPr>
        <w:rFonts w:ascii="Palatino Linotype" w:hAnsi="Palatino Linotype"/>
        <w:sz w:val="16"/>
      </w:rPr>
      <w:tab/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PAGE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D165BB">
      <w:rPr>
        <w:rFonts w:ascii="Palatino Linotype" w:hAnsi="Palatino Linotype"/>
        <w:noProof/>
        <w:sz w:val="16"/>
      </w:rPr>
      <w:t>5</w:t>
    </w:r>
    <w:r w:rsidR="000B74CE">
      <w:rPr>
        <w:rFonts w:ascii="Palatino Linotype" w:hAnsi="Palatino Linotype"/>
        <w:sz w:val="16"/>
      </w:rPr>
      <w:fldChar w:fldCharType="end"/>
    </w:r>
    <w:r w:rsidR="000B74CE">
      <w:rPr>
        <w:rFonts w:ascii="Palatino Linotype" w:hAnsi="Palatino Linotype"/>
        <w:sz w:val="16"/>
      </w:rPr>
      <w:t xml:space="preserve"> of </w:t>
    </w:r>
    <w:r w:rsidR="000B74CE">
      <w:rPr>
        <w:rFonts w:ascii="Palatino Linotype" w:hAnsi="Palatino Linotype"/>
        <w:sz w:val="16"/>
      </w:rPr>
      <w:fldChar w:fldCharType="begin"/>
    </w:r>
    <w:r w:rsidR="000B74CE">
      <w:rPr>
        <w:rFonts w:ascii="Palatino Linotype" w:hAnsi="Palatino Linotype"/>
        <w:sz w:val="16"/>
      </w:rPr>
      <w:instrText xml:space="preserve"> NUMPAGES   \* MERGEFORMAT </w:instrText>
    </w:r>
    <w:r w:rsidR="000B74CE">
      <w:rPr>
        <w:rFonts w:ascii="Palatino Linotype" w:hAnsi="Palatino Linotype"/>
        <w:sz w:val="16"/>
      </w:rPr>
      <w:fldChar w:fldCharType="separate"/>
    </w:r>
    <w:r w:rsidR="00D165BB">
      <w:rPr>
        <w:rFonts w:ascii="Palatino Linotype" w:hAnsi="Palatino Linotype"/>
        <w:noProof/>
        <w:sz w:val="16"/>
      </w:rPr>
      <w:t>5</w:t>
    </w:r>
    <w:r w:rsidR="000B74CE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00E" w:rsidRDefault="00D165BB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400E" w:rsidRDefault="00D165BB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8480" cy="35306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8480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04400E" w:rsidRDefault="00D165BB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8480" cy="35306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8480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66875" cy="440055"/>
          <wp:effectExtent l="0" t="0" r="0" b="0"/>
          <wp:docPr id="5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BB"/>
    <w:rsid w:val="0004400E"/>
    <w:rsid w:val="0004721A"/>
    <w:rsid w:val="00053EBF"/>
    <w:rsid w:val="000B74CE"/>
    <w:rsid w:val="000C151B"/>
    <w:rsid w:val="000C2465"/>
    <w:rsid w:val="000C504E"/>
    <w:rsid w:val="0016006D"/>
    <w:rsid w:val="001D349C"/>
    <w:rsid w:val="001D4D23"/>
    <w:rsid w:val="001E2AEB"/>
    <w:rsid w:val="001E4A07"/>
    <w:rsid w:val="0021217E"/>
    <w:rsid w:val="002223FC"/>
    <w:rsid w:val="00240486"/>
    <w:rsid w:val="003040E0"/>
    <w:rsid w:val="00324292"/>
    <w:rsid w:val="00326141"/>
    <w:rsid w:val="0032779D"/>
    <w:rsid w:val="00370EC8"/>
    <w:rsid w:val="0037766B"/>
    <w:rsid w:val="003A15E9"/>
    <w:rsid w:val="003A791E"/>
    <w:rsid w:val="003B7C96"/>
    <w:rsid w:val="003D3232"/>
    <w:rsid w:val="003F1497"/>
    <w:rsid w:val="00401D30"/>
    <w:rsid w:val="00443AAF"/>
    <w:rsid w:val="004504C9"/>
    <w:rsid w:val="004669B4"/>
    <w:rsid w:val="004A046F"/>
    <w:rsid w:val="004D3B65"/>
    <w:rsid w:val="00506BC0"/>
    <w:rsid w:val="0053256F"/>
    <w:rsid w:val="00562123"/>
    <w:rsid w:val="005664C6"/>
    <w:rsid w:val="005B6005"/>
    <w:rsid w:val="005C5DE8"/>
    <w:rsid w:val="00605718"/>
    <w:rsid w:val="00646BFC"/>
    <w:rsid w:val="00666C02"/>
    <w:rsid w:val="00691777"/>
    <w:rsid w:val="00692393"/>
    <w:rsid w:val="007648D8"/>
    <w:rsid w:val="007C021F"/>
    <w:rsid w:val="008145DC"/>
    <w:rsid w:val="008474ED"/>
    <w:rsid w:val="008A3D4D"/>
    <w:rsid w:val="008B6A2E"/>
    <w:rsid w:val="008F2594"/>
    <w:rsid w:val="00993114"/>
    <w:rsid w:val="009F5C65"/>
    <w:rsid w:val="009F70E6"/>
    <w:rsid w:val="00A15FF4"/>
    <w:rsid w:val="00A563F4"/>
    <w:rsid w:val="00A56FF8"/>
    <w:rsid w:val="00A65FB0"/>
    <w:rsid w:val="00AB5AEE"/>
    <w:rsid w:val="00B46F24"/>
    <w:rsid w:val="00B60928"/>
    <w:rsid w:val="00B72696"/>
    <w:rsid w:val="00B93109"/>
    <w:rsid w:val="00CC7AAB"/>
    <w:rsid w:val="00CD54D3"/>
    <w:rsid w:val="00D165BB"/>
    <w:rsid w:val="00DA6AE2"/>
    <w:rsid w:val="00DE07DE"/>
    <w:rsid w:val="00E03F44"/>
    <w:rsid w:val="00E20009"/>
    <w:rsid w:val="00E26A84"/>
    <w:rsid w:val="00E82DCF"/>
    <w:rsid w:val="00EA591D"/>
    <w:rsid w:val="00EC23EC"/>
    <w:rsid w:val="00F42807"/>
    <w:rsid w:val="00F54E21"/>
    <w:rsid w:val="00F8065D"/>
    <w:rsid w:val="00F8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14F35"/>
  <w15:chartTrackingRefBased/>
  <w15:docId w15:val="{F3221461-111D-48B7-8382-CB0969E8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BFC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165BB"/>
    <w:pPr>
      <w:numPr>
        <w:numId w:val="5"/>
      </w:numPr>
      <w:spacing w:before="240" w:after="240" w:line="240" w:lineRule="auto"/>
      <w:ind w:firstLine="0"/>
      <w:jc w:val="left"/>
      <w:outlineLvl w:val="0"/>
    </w:pPr>
    <w:rPr>
      <w:rFonts w:eastAsia="Cambria"/>
      <w:b/>
      <w:color w:val="auto"/>
      <w:szCs w:val="24"/>
      <w:lang w:eastAsia="en-US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D165BB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D165BB"/>
    <w:pPr>
      <w:keepNext/>
      <w:keepLines/>
      <w:numPr>
        <w:ilvl w:val="2"/>
        <w:numId w:val="5"/>
      </w:numPr>
      <w:spacing w:before="40" w:after="120" w:line="240" w:lineRule="auto"/>
      <w:jc w:val="left"/>
      <w:outlineLvl w:val="2"/>
    </w:pPr>
    <w:rPr>
      <w:rFonts w:eastAsia="宋体"/>
      <w:b/>
      <w:color w:val="auto"/>
      <w:szCs w:val="24"/>
      <w:lang w:eastAsia="en-US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165BB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165BB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46BFC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Normal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46BFC"/>
  </w:style>
  <w:style w:type="table" w:customStyle="1" w:styleId="MDPI41threelinetable">
    <w:name w:val="MDPI_4.1_three_line_table"/>
    <w:basedOn w:val="TableNormal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A791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06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2"/>
    <w:rsid w:val="00D165BB"/>
    <w:rPr>
      <w:rFonts w:ascii="Times New Roman" w:eastAsia="Cambria" w:hAnsi="Times New Roman"/>
      <w:b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65BB"/>
    <w:rPr>
      <w:rFonts w:ascii="Times New Roman" w:eastAsia="Cambria" w:hAnsi="Times New Roman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65BB"/>
    <w:rPr>
      <w:rFonts w:ascii="Times New Roman" w:hAnsi="Times New Roman"/>
      <w:b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65BB"/>
    <w:rPr>
      <w:rFonts w:ascii="Times New Roman" w:hAnsi="Times New Roman"/>
      <w:b/>
      <w:iCs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65BB"/>
    <w:rPr>
      <w:rFonts w:ascii="Times New Roman" w:hAnsi="Times New Roman"/>
      <w:b/>
      <w:iCs/>
      <w:sz w:val="24"/>
      <w:szCs w:val="24"/>
      <w:lang w:eastAsia="en-US"/>
    </w:rPr>
  </w:style>
  <w:style w:type="numbering" w:customStyle="1" w:styleId="Headings">
    <w:name w:val="Headings"/>
    <w:uiPriority w:val="99"/>
    <w:rsid w:val="00D165BB"/>
    <w:pPr>
      <w:numPr>
        <w:numId w:val="5"/>
      </w:numPr>
    </w:pPr>
  </w:style>
  <w:style w:type="character" w:customStyle="1" w:styleId="fontstyle01">
    <w:name w:val="fontstyle01"/>
    <w:rsid w:val="00D165BB"/>
    <w:rPr>
      <w:rFonts w:ascii="GulliverRM" w:hAnsi="GulliverRM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D165BB"/>
    <w:pPr>
      <w:ind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2020%20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2020 ijms-template.dot</Template>
  <TotalTime>1</TotalTime>
  <Pages>1</Pages>
  <Words>137</Words>
  <Characters>762</Characters>
  <Application>Microsoft Office Word</Application>
  <DocSecurity>0</DocSecurity>
  <Lines>13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1</cp:revision>
  <dcterms:created xsi:type="dcterms:W3CDTF">2020-03-09T04:32:00Z</dcterms:created>
  <dcterms:modified xsi:type="dcterms:W3CDTF">2020-03-09T04:33:00Z</dcterms:modified>
</cp:coreProperties>
</file>