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7C" w:rsidRPr="0028069B" w:rsidRDefault="00EB693B" w:rsidP="00EB693B">
      <w:pPr>
        <w:pStyle w:val="Bezodstpw"/>
        <w:rPr>
          <w:rFonts w:ascii="Palatino Linotype" w:hAnsi="Palatino Linotype" w:cs="Times New Roman"/>
          <w:sz w:val="20"/>
          <w:szCs w:val="20"/>
          <w:lang w:val="en-US"/>
        </w:rPr>
      </w:pPr>
      <w:r w:rsidRPr="0028069B">
        <w:rPr>
          <w:rFonts w:ascii="Palatino Linotype" w:hAnsi="Palatino Linotype" w:cs="Times New Roman"/>
          <w:b/>
          <w:sz w:val="20"/>
          <w:szCs w:val="20"/>
          <w:lang w:val="en-US"/>
        </w:rPr>
        <w:t>Supplementary Table S</w:t>
      </w:r>
      <w:r w:rsidR="0028069B" w:rsidRPr="0028069B">
        <w:rPr>
          <w:rFonts w:ascii="Palatino Linotype" w:hAnsi="Palatino Linotype" w:cs="Times New Roman"/>
          <w:b/>
          <w:sz w:val="20"/>
          <w:szCs w:val="20"/>
          <w:lang w:val="en-US"/>
        </w:rPr>
        <w:t>2</w:t>
      </w:r>
      <w:r w:rsidRPr="0028069B">
        <w:rPr>
          <w:rFonts w:ascii="Palatino Linotype" w:hAnsi="Palatino Linotype" w:cs="Times New Roman"/>
          <w:sz w:val="20"/>
          <w:szCs w:val="20"/>
          <w:lang w:val="en-US"/>
        </w:rPr>
        <w:t>. KEGG pathway of enriche</w:t>
      </w:r>
      <w:r w:rsidR="006573A3" w:rsidRPr="0028069B">
        <w:rPr>
          <w:rFonts w:ascii="Palatino Linotype" w:hAnsi="Palatino Linotype" w:cs="Times New Roman"/>
          <w:sz w:val="20"/>
          <w:szCs w:val="20"/>
          <w:lang w:val="en-US"/>
        </w:rPr>
        <w:t>d candidate genes (CGs)</w:t>
      </w:r>
      <w:r w:rsidR="004663BD" w:rsidRPr="0028069B">
        <w:rPr>
          <w:rFonts w:ascii="Palatino Linotype" w:hAnsi="Palatino Linotype" w:cs="Times New Roman"/>
          <w:sz w:val="20"/>
          <w:szCs w:val="20"/>
          <w:lang w:val="en-US"/>
        </w:rPr>
        <w:t xml:space="preserve">  of</w:t>
      </w:r>
      <w:r w:rsidRPr="0028069B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4663BD" w:rsidRPr="0028069B">
        <w:rPr>
          <w:rFonts w:ascii="Palatino Linotype" w:hAnsi="Palatino Linotype" w:cs="Times New Roman"/>
          <w:sz w:val="20"/>
          <w:szCs w:val="20"/>
          <w:lang w:val="en-US"/>
        </w:rPr>
        <w:t xml:space="preserve">boar </w:t>
      </w:r>
      <w:r w:rsidRPr="0028069B">
        <w:rPr>
          <w:rFonts w:ascii="Palatino Linotype" w:hAnsi="Palatino Linotype" w:cs="Times New Roman"/>
          <w:sz w:val="20"/>
          <w:szCs w:val="20"/>
          <w:lang w:val="en-US"/>
        </w:rPr>
        <w:t>spermatozoa.</w:t>
      </w:r>
    </w:p>
    <w:tbl>
      <w:tblPr>
        <w:tblW w:w="164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76"/>
        <w:gridCol w:w="1275"/>
        <w:gridCol w:w="1845"/>
        <w:gridCol w:w="8361"/>
        <w:gridCol w:w="421"/>
      </w:tblGrid>
      <w:tr w:rsidR="004C2DB9" w:rsidRPr="0028069B" w:rsidTr="003D6748">
        <w:trPr>
          <w:gridAfter w:val="1"/>
          <w:wAfter w:w="421" w:type="dxa"/>
          <w:trHeight w:val="285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ID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Term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3D6748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</w:pPr>
            <w:r w:rsidRPr="003D6748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20"/>
                <w:szCs w:val="20"/>
                <w:lang w:val="en-US" w:eastAsia="pl-PL"/>
              </w:rPr>
              <w:t>GO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="00B60C73"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C</w:t>
            </w:r>
            <w:r w:rsidR="00EB693B"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ounts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28069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>p</w:t>
            </w:r>
            <w:r w:rsidR="00FE5D2B"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>-</w:t>
            </w:r>
            <w:r w:rsidR="00EB693B"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value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0B179D" w:rsidP="000B179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CG name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ssc05145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Toxoplasmosis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0.00107059374932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JAK1, IFNGR1, PIK3R1, JAK2, LAMA3, ITGB1, IRAK4, SLA-DRB1</w:t>
            </w:r>
          </w:p>
        </w:tc>
      </w:tr>
      <w:tr w:rsidR="004C2DB9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ssc05140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Leishmaniasis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bookmarkStart w:id="0" w:name="_GoBack"/>
            <w:bookmarkEnd w:id="0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0.00118958450208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JAK1, NCF4, IFNGR1, JAK2, ITGB1, IRAK4,  SLA-DRB1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ssc04724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Glutamatergic synapse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0.00236380661575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GLUL, SLC1A2, SLC1A1, SLC1A3, GRIA4,</w:t>
            </w:r>
            <w:r w:rsidR="00DB6478"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GNB5, ADCY2, GRM7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ssc05162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Measles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0.00421592990494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CD28, JAK1, PIK3R1, SLAMF1, IFNGR1, JAK2, ENSSSCG00000009633, IRAK4</w:t>
            </w:r>
          </w:p>
        </w:tc>
      </w:tr>
      <w:tr w:rsidR="00EB693B" w:rsidRPr="0028069B" w:rsidTr="003D674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ssc04550</w:t>
            </w:r>
          </w:p>
        </w:tc>
        <w:tc>
          <w:tcPr>
            <w:tcW w:w="35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Signaling pathways regulating pluripotency of stem cells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8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0.00502394525168</w:t>
            </w:r>
          </w:p>
        </w:tc>
        <w:tc>
          <w:tcPr>
            <w:tcW w:w="878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JAK1,</w:t>
            </w:r>
            <w:r w:rsidR="00DB6478"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WNT16, LHX5, ID4, PIK3R3, SMAD9, PIK3R1, JAK2, SMAD2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ssc04725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Cholinergic synapse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0.00646185289242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CAMK2D, PIK3R3, PIK3R1, GNB5, JAK2, ADCY2, CHRNA6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ssc00120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Primary bile acid biosynthesis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0.00791896037004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CYP7A1, AMACR,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 xml:space="preserve"> CYP7B1</w:t>
            </w:r>
          </w:p>
        </w:tc>
      </w:tr>
      <w:tr w:rsidR="004C2DB9" w:rsidRPr="0028069B" w:rsidTr="003D6748">
        <w:trPr>
          <w:gridAfter w:val="1"/>
          <w:wAfter w:w="421" w:type="dxa"/>
          <w:trHeight w:val="359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ssc04151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PI3K-Akt signaling pathway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0.00800948308257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PKN1, FN1, JAK1, PIK3R3, PHLPP1, PIK3R1, YWHAH, IRS1, GNB5, JAK2, SGK3, PPP2R1B, ITGB1, ITGA2B, LAMA3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ssc00270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Cysteine and methionine metabolism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0.00849869527317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BHMT2, AHCYL1, 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>SMS</w:t>
            </w:r>
            <w:r w:rsidRPr="0028069B">
              <w:rPr>
                <w:rFonts w:ascii="Palatino Linotype" w:eastAsia="Times New Roman" w:hAnsi="Palatino Linotype" w:cs="Times New Roman"/>
                <w:bCs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,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AGXT2, TST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ssc00970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Aminoacyl-</w:t>
            </w:r>
            <w:proofErr w:type="spellStart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tRNA</w:t>
            </w:r>
            <w:proofErr w:type="spellEnd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 xml:space="preserve"> biosynthesis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0.00931922871593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>SARS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, TARS, 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>HARS2</w:t>
            </w:r>
            <w:r w:rsidRPr="0028069B">
              <w:rPr>
                <w:rFonts w:ascii="Palatino Linotype" w:eastAsia="Times New Roman" w:hAnsi="Palatino Linotype" w:cs="Times New Roman"/>
                <w:bCs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,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QRSL1, NARS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ssc05222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Small cell lung cancer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0.00997541782558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FN1, PIK3R3, PIK3R1, LAMA3, ITGB1, ITGA2B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ssc04923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Regulation of lipolysis in adipocytes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0.0121047040658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PIK3R3, CGA, IRS1, ADCY2, PIK3R1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ssc04350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TGF-beta signaling pathway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0.0140867498946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RBL1, SMAD9, SP1, ID4, SMAD2, PPP2R1B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ssc05164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Influenza 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0.0144983163752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VDAC1, JAK1, PIK3R3, IFNGR1, PIK3R1, JAK2,  SLA-DRB1,  ENSSSCG00000009633, IRAK4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ssc04960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Aldosterone-regulated sodium reabsorption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0.0181499769769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PIK3R3, IRS1,ATP1A1, PIK3R1</w:t>
            </w:r>
          </w:p>
        </w:tc>
      </w:tr>
      <w:tr w:rsidR="00EB693B" w:rsidRPr="0028069B" w:rsidTr="003D6748">
        <w:trPr>
          <w:gridAfter w:val="1"/>
          <w:wAfter w:w="421" w:type="dxa"/>
          <w:trHeight w:val="169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ssc05152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Tuberculosis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0.0187523170674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CEBPG, JAK1, CAMK2D, 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>CLEC7A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, NFYA, IFNGR1, JAK2, SLA-DRB1, IRAK4</w:t>
            </w:r>
          </w:p>
        </w:tc>
      </w:tr>
      <w:tr w:rsidR="00EB693B" w:rsidRPr="0028069B" w:rsidTr="003D6748">
        <w:trPr>
          <w:gridAfter w:val="1"/>
          <w:wAfter w:w="421" w:type="dxa"/>
          <w:trHeight w:val="15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ssc05142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 xml:space="preserve">Chagas disease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0.0189895146466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IFNGR1, GNA14, PIK3R3, PIK3R1, SMAD2, PPP2R1B, IRAK4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ssc04360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Axon guidance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0.020353225451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DPYSL2, SEMA6D, PIK3R3, CAMK2D, SRGAP1, PIK3R1,</w:t>
            </w:r>
            <w:r w:rsidR="00DB6478"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28069B">
              <w:rPr>
                <w:rFonts w:ascii="Palatino Linotype" w:eastAsia="Times New Roman" w:hAnsi="Palatino Linotype" w:cs="Times New Roman"/>
                <w:b/>
                <w:i/>
                <w:iCs/>
                <w:color w:val="FF0000"/>
                <w:sz w:val="20"/>
                <w:szCs w:val="20"/>
                <w:lang w:val="en-US" w:eastAsia="pl-PL"/>
              </w:rPr>
              <w:t>ROBO1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, ITGB1, SEMA3E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ssc05412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Arrhythmogenic</w:t>
            </w:r>
            <w:proofErr w:type="spellEnd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 xml:space="preserve"> right ventricular cardiomyopathy (ARVC)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0.0253155580277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DSC3, ITGB1, DSG2, GJA1, ITGA2B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ssc04931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Insulin resistance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0.0255277091304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PYGB, MLXIPL, PIK3R3, MGEA5, PIK3R1, IRS1, COMMD6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ssc04512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ECM-receptor interaction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0.0305752175014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ITGB1, FN1, ITGA2B, SV2B, LAMA3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ssc05146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Amoebiasis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0.0331592712899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FN1, GNA14, SERPINB10, PIK3R3, PIK3R1, LAMA3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ssc04727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GABAergic synapse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0.0344357833155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GABARAPL2, GABRR2, GNB5, ADCY2, GLUL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ssc04974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Protein digestion and absorption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0.0430271874886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PRCP, ATP1A1, COL14A1, CPB1, SLC1A1</w:t>
            </w:r>
          </w:p>
        </w:tc>
      </w:tr>
      <w:tr w:rsidR="00EB693B" w:rsidRPr="0028069B" w:rsidTr="003D6748">
        <w:trPr>
          <w:gridAfter w:val="1"/>
          <w:wAfter w:w="421" w:type="dxa"/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ssc04022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cGMP-PKG signaling pathway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0.043755509184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VDAC1, PIK3R3, ATP1A1, PIK3R1, ATP2B1, ADCY2, IRS1, GTF2I</w:t>
            </w:r>
          </w:p>
        </w:tc>
      </w:tr>
      <w:tr w:rsidR="00EB693B" w:rsidRPr="0028069B" w:rsidTr="003D6748">
        <w:trPr>
          <w:gridAfter w:val="1"/>
          <w:wAfter w:w="421" w:type="dxa"/>
          <w:trHeight w:val="273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ssc05033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Nicotine addiction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0.0475928394343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GABRR2, GRIA4, CHRNA6</w:t>
            </w:r>
          </w:p>
        </w:tc>
      </w:tr>
      <w:tr w:rsidR="00EB693B" w:rsidRPr="0028069B" w:rsidTr="003D6748">
        <w:trPr>
          <w:gridAfter w:val="1"/>
          <w:wAfter w:w="421" w:type="dxa"/>
          <w:trHeight w:val="69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ssc01100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Metabolic pathways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38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93B" w:rsidRPr="0028069B" w:rsidRDefault="00EB693B" w:rsidP="00EB693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l-PL"/>
              </w:rPr>
              <w:t>0.04923219835</w:t>
            </w:r>
          </w:p>
        </w:tc>
        <w:tc>
          <w:tcPr>
            <w:tcW w:w="8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93B" w:rsidRPr="0028069B" w:rsidRDefault="00EB693B" w:rsidP="00DB6478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</w:pP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TST, AHCYL1, CYP7A1, GMPS, TRIT1,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 xml:space="preserve"> ACSL4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NMRK1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ALG11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GLUL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l-PL"/>
              </w:rPr>
              <w:t>,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 UAP1, AOC1, SDHC, ADH4, CPOX, LAMA3, NDUFS1, PRIM2, </w:t>
            </w:r>
            <w:r w:rsidRPr="0028069B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FF0000"/>
                <w:sz w:val="20"/>
                <w:szCs w:val="20"/>
                <w:lang w:val="en-US" w:eastAsia="pl-PL"/>
              </w:rPr>
              <w:t>SMS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, AASS, AGPS, GBA3, ASAH1, MTHFD1, AKR1C3, ATP5A1, MCCC2, PYGB, MGAT4A, AMACR, KMO, AGXT2, SDHB, HADHA, BHMT2, DMGDH, </w:t>
            </w:r>
            <w:r w:rsidR="00DB6478"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NMNAT1M, QRSL1</w:t>
            </w:r>
            <w:r w:rsidRPr="0028069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US" w:eastAsia="pl-PL"/>
              </w:rPr>
              <w:t>, LIPG</w:t>
            </w:r>
          </w:p>
        </w:tc>
      </w:tr>
    </w:tbl>
    <w:p w:rsidR="00EB693B" w:rsidRPr="00EB693B" w:rsidRDefault="00EB693B" w:rsidP="003D6748">
      <w:pPr>
        <w:pStyle w:val="Bezodstpw"/>
        <w:rPr>
          <w:lang w:val="en-US"/>
        </w:rPr>
      </w:pPr>
    </w:p>
    <w:sectPr w:rsidR="00EB693B" w:rsidRPr="00EB693B" w:rsidSect="003D6748">
      <w:pgSz w:w="16838" w:h="11906" w:orient="landscape"/>
      <w:pgMar w:top="454" w:right="510" w:bottom="45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E8E" w:rsidRDefault="00F50E8E" w:rsidP="003D6748">
      <w:pPr>
        <w:spacing w:after="0" w:line="240" w:lineRule="auto"/>
      </w:pPr>
      <w:r>
        <w:separator/>
      </w:r>
    </w:p>
  </w:endnote>
  <w:endnote w:type="continuationSeparator" w:id="0">
    <w:p w:rsidR="00F50E8E" w:rsidRDefault="00F50E8E" w:rsidP="003D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E8E" w:rsidRDefault="00F50E8E" w:rsidP="003D6748">
      <w:pPr>
        <w:spacing w:after="0" w:line="240" w:lineRule="auto"/>
      </w:pPr>
      <w:r>
        <w:separator/>
      </w:r>
    </w:p>
  </w:footnote>
  <w:footnote w:type="continuationSeparator" w:id="0">
    <w:p w:rsidR="00F50E8E" w:rsidRDefault="00F50E8E" w:rsidP="003D67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3B"/>
    <w:rsid w:val="000A33CE"/>
    <w:rsid w:val="000B179D"/>
    <w:rsid w:val="0028069B"/>
    <w:rsid w:val="003D6748"/>
    <w:rsid w:val="004663BD"/>
    <w:rsid w:val="004C2DB9"/>
    <w:rsid w:val="006573A3"/>
    <w:rsid w:val="0074006A"/>
    <w:rsid w:val="007F5F5E"/>
    <w:rsid w:val="00A0137C"/>
    <w:rsid w:val="00B36FA4"/>
    <w:rsid w:val="00B534D6"/>
    <w:rsid w:val="00B60C73"/>
    <w:rsid w:val="00CD55D9"/>
    <w:rsid w:val="00D4034D"/>
    <w:rsid w:val="00DB6478"/>
    <w:rsid w:val="00EB693B"/>
    <w:rsid w:val="00F50E8E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B0C0"/>
  <w15:chartTrackingRefBased/>
  <w15:docId w15:val="{C670CD10-19FB-4128-A2D0-C2D9CB95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B693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6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4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6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48"/>
  </w:style>
  <w:style w:type="paragraph" w:styleId="Stopka">
    <w:name w:val="footer"/>
    <w:basedOn w:val="Normalny"/>
    <w:link w:val="StopkaZnak"/>
    <w:uiPriority w:val="99"/>
    <w:unhideWhenUsed/>
    <w:rsid w:val="003D6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5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LEYLAND FRASER</dc:creator>
  <cp:keywords/>
  <dc:description/>
  <cp:lastModifiedBy>Leyland</cp:lastModifiedBy>
  <cp:revision>12</cp:revision>
  <cp:lastPrinted>2019-09-04T20:08:00Z</cp:lastPrinted>
  <dcterms:created xsi:type="dcterms:W3CDTF">2019-09-16T06:32:00Z</dcterms:created>
  <dcterms:modified xsi:type="dcterms:W3CDTF">2020-02-19T16:23:00Z</dcterms:modified>
</cp:coreProperties>
</file>