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5099705" w14:textId="77777777" w:rsidR="007A0724" w:rsidRPr="007A0724" w:rsidRDefault="007A0724" w:rsidP="007A0724">
      <w:pPr>
        <w:pStyle w:val="MDPI22heading2"/>
        <w:rPr>
          <w:b/>
          <w:bCs/>
          <w:i w:val="0"/>
          <w:iCs/>
        </w:rPr>
      </w:pPr>
      <w:r>
        <w:rPr>
          <w:b/>
          <w:bCs/>
          <w:i w:val="0"/>
          <w:iCs/>
        </w:rPr>
        <w:t>Table of contents</w:t>
      </w:r>
    </w:p>
    <w:p w14:paraId="2BF348D3" w14:textId="77777777" w:rsidR="007A0724" w:rsidRPr="007A0724" w:rsidRDefault="007A0724" w:rsidP="007A0724">
      <w:pPr>
        <w:pStyle w:val="MDPI22heading2"/>
        <w:rPr>
          <w:b/>
          <w:bCs/>
        </w:rPr>
      </w:pPr>
      <w:r w:rsidRPr="007A0724">
        <w:rPr>
          <w:b/>
          <w:bCs/>
        </w:rPr>
        <w:t>Supplementary table legends</w:t>
      </w:r>
    </w:p>
    <w:p w14:paraId="2F3D8E5C" w14:textId="77777777" w:rsidR="007A0724" w:rsidRPr="00B9357C" w:rsidRDefault="007A0724" w:rsidP="007A0724">
      <w:pPr>
        <w:pStyle w:val="MDPI32textnoindent"/>
        <w:rPr>
          <w:b/>
        </w:rPr>
      </w:pPr>
      <w:r w:rsidRPr="00B9357C">
        <w:rPr>
          <w:b/>
        </w:rPr>
        <w:t xml:space="preserve">Table S1 – Table of primers used for genotyping of the insertion lines and for cloning of NACβ genomic fragments. </w:t>
      </w:r>
    </w:p>
    <w:p w14:paraId="678B32BD" w14:textId="77777777" w:rsidR="007A0724" w:rsidRPr="00B9357C" w:rsidRDefault="007A0724" w:rsidP="007A0724">
      <w:pPr>
        <w:pStyle w:val="MDPI32textnoindent"/>
        <w:rPr>
          <w:b/>
        </w:rPr>
      </w:pPr>
      <w:r w:rsidRPr="00B9357C">
        <w:rPr>
          <w:b/>
        </w:rPr>
        <w:t>Table S2 – Table of primers used for qRT-PCR amplification.</w:t>
      </w:r>
    </w:p>
    <w:p w14:paraId="62267C43" w14:textId="77777777" w:rsidR="007A0724" w:rsidRPr="006D1F76" w:rsidRDefault="007A0724" w:rsidP="007A0724">
      <w:pPr>
        <w:pStyle w:val="MDPI32textnoindent"/>
      </w:pPr>
      <w:r w:rsidRPr="00B9357C">
        <w:rPr>
          <w:b/>
        </w:rPr>
        <w:t xml:space="preserve">Table S3 – Table of all differentially expressed genes in </w:t>
      </w:r>
      <w:r w:rsidRPr="00B9357C">
        <w:rPr>
          <w:b/>
          <w:i/>
        </w:rPr>
        <w:t>nacβ1nacβ2.</w:t>
      </w:r>
      <w:r w:rsidRPr="006D1F76">
        <w:rPr>
          <w:i/>
        </w:rPr>
        <w:t xml:space="preserve"> </w:t>
      </w:r>
      <w:r w:rsidRPr="006D1F76">
        <w:t>The table consists of 13 columns as follows: Gene ID, fold change, fold change in log</w:t>
      </w:r>
      <w:r w:rsidRPr="006D1F76">
        <w:rPr>
          <w:vertAlign w:val="subscript"/>
        </w:rPr>
        <w:t>2</w:t>
      </w:r>
      <w:r w:rsidRPr="006D1F76">
        <w:t xml:space="preserve"> scale, adjusted p-value, symbol of gene and brief description obtained from Araport database and GO terms for gene groups mentioned in the article. Genes are sorted according to their log</w:t>
      </w:r>
      <w:r w:rsidRPr="006D1F76">
        <w:rPr>
          <w:vertAlign w:val="subscript"/>
        </w:rPr>
        <w:t>2</w:t>
      </w:r>
      <w:r w:rsidRPr="006D1F76">
        <w:t>Fold Change.</w:t>
      </w:r>
    </w:p>
    <w:p w14:paraId="7979FCFD" w14:textId="77777777" w:rsidR="007A0724" w:rsidRPr="006D1F76" w:rsidRDefault="007A0724" w:rsidP="007A0724">
      <w:pPr>
        <w:pStyle w:val="MDPI32textnoindent"/>
      </w:pPr>
      <w:r w:rsidRPr="00B9357C">
        <w:rPr>
          <w:b/>
        </w:rPr>
        <w:t xml:space="preserve">Table S4 – Table of all differentially expressed proteins in </w:t>
      </w:r>
      <w:r w:rsidRPr="00B9357C">
        <w:rPr>
          <w:b/>
          <w:i/>
        </w:rPr>
        <w:t>nacβ1nacβ2.</w:t>
      </w:r>
      <w:r w:rsidRPr="006D1F76">
        <w:rPr>
          <w:i/>
        </w:rPr>
        <w:t xml:space="preserve"> </w:t>
      </w:r>
      <w:r w:rsidRPr="006D1F76">
        <w:t>The table consists of 20 columns as follows: Protein group accession number, Gene ID, symbol, Brief Description obtained from v1.10.4, Araport11 Release 06/2016 database, logFC, FC, adjusted p-value, p-value and GO terms for protein groups mentioned in the article. Proteins are sorted according log</w:t>
      </w:r>
      <w:r w:rsidRPr="006D1F76">
        <w:rPr>
          <w:vertAlign w:val="subscript"/>
        </w:rPr>
        <w:t>2</w:t>
      </w:r>
      <w:r w:rsidRPr="006D1F76">
        <w:t>Fold Change.</w:t>
      </w:r>
    </w:p>
    <w:p w14:paraId="57EB7044" w14:textId="77777777" w:rsidR="007A0724" w:rsidRDefault="007A0724" w:rsidP="007A0724">
      <w:pPr>
        <w:pStyle w:val="MDPI32textnoindent"/>
      </w:pPr>
      <w:r w:rsidRPr="00B9357C">
        <w:rPr>
          <w:b/>
        </w:rPr>
        <w:t xml:space="preserve">Table S5 – Table of comparison of DE genes and proteins in </w:t>
      </w:r>
      <w:r w:rsidRPr="00B9357C">
        <w:rPr>
          <w:b/>
          <w:i/>
        </w:rPr>
        <w:t xml:space="preserve">nacβ1nacβ2 </w:t>
      </w:r>
      <w:r w:rsidRPr="00B9357C">
        <w:rPr>
          <w:b/>
        </w:rPr>
        <w:t>proteome and transcriptome.</w:t>
      </w:r>
      <w:r w:rsidRPr="006D1F76">
        <w:t xml:space="preserve"> The table shows numbers of differentially expressed proteins/genes present in both analyses as well as total number of discovered upregulated/downregulated proteins and genes.</w:t>
      </w:r>
    </w:p>
    <w:p w14:paraId="7E3ED25E" w14:textId="77777777" w:rsidR="007A0724" w:rsidRPr="007A0724" w:rsidRDefault="007A0724" w:rsidP="007A0724">
      <w:pPr>
        <w:pStyle w:val="MDPI22heading2"/>
        <w:rPr>
          <w:b/>
          <w:bCs/>
        </w:rPr>
      </w:pPr>
      <w:r w:rsidRPr="007A0724">
        <w:rPr>
          <w:b/>
          <w:bCs/>
        </w:rPr>
        <w:t>Supplementary figure legends</w:t>
      </w:r>
    </w:p>
    <w:p w14:paraId="4B194F0B" w14:textId="77777777" w:rsidR="007A0724" w:rsidRPr="006D1F76" w:rsidRDefault="007A0724" w:rsidP="007A0724">
      <w:pPr>
        <w:pStyle w:val="MDPI32textnoindent"/>
      </w:pPr>
      <w:r w:rsidRPr="006D1F76">
        <w:rPr>
          <w:b/>
        </w:rPr>
        <w:t xml:space="preserve">Figure S1 – Development of </w:t>
      </w:r>
      <w:r w:rsidRPr="006D1F76">
        <w:rPr>
          <w:b/>
          <w:i/>
        </w:rPr>
        <w:t xml:space="preserve">nacβ1nacβ2 </w:t>
      </w:r>
      <w:r w:rsidRPr="006D1F76">
        <w:rPr>
          <w:b/>
        </w:rPr>
        <w:t>and Col-0 wt</w:t>
      </w:r>
      <w:r>
        <w:rPr>
          <w:b/>
        </w:rPr>
        <w:t>, and c</w:t>
      </w:r>
      <w:r w:rsidRPr="006D1F76">
        <w:rPr>
          <w:b/>
        </w:rPr>
        <w:t xml:space="preserve">haracterization of </w:t>
      </w:r>
      <w:r w:rsidRPr="006D1F76">
        <w:rPr>
          <w:b/>
          <w:i/>
        </w:rPr>
        <w:t>nacβ</w:t>
      </w:r>
      <w:r w:rsidRPr="006D1F76">
        <w:rPr>
          <w:b/>
        </w:rPr>
        <w:t xml:space="preserve"> single mutant insertion lines. </w:t>
      </w:r>
      <w:r w:rsidRPr="008A2FAF">
        <w:rPr>
          <w:bCs/>
        </w:rPr>
        <w:t>A–C</w:t>
      </w:r>
      <w:r>
        <w:rPr>
          <w:b/>
        </w:rPr>
        <w:t xml:space="preserve"> </w:t>
      </w:r>
      <w:r w:rsidRPr="006D1F76">
        <w:t xml:space="preserve">Comparison of the </w:t>
      </w:r>
      <w:r w:rsidRPr="006D1F76">
        <w:rPr>
          <w:i/>
        </w:rPr>
        <w:t>nacβ1nacβ2</w:t>
      </w:r>
      <w:r w:rsidRPr="006D1F76">
        <w:t xml:space="preserve"> and Col-0 wt development under the same conditions. </w:t>
      </w:r>
      <w:r>
        <w:t>The f</w:t>
      </w:r>
      <w:r w:rsidRPr="006D1F76">
        <w:t xml:space="preserve">irst six rows </w:t>
      </w:r>
      <w:r>
        <w:t xml:space="preserve">of plants are </w:t>
      </w:r>
      <w:r w:rsidRPr="006D1F76">
        <w:t>represent</w:t>
      </w:r>
      <w:r>
        <w:t>ed by</w:t>
      </w:r>
      <w:r w:rsidRPr="006D1F76">
        <w:t xml:space="preserve"> </w:t>
      </w:r>
      <w:r w:rsidRPr="006D1F76">
        <w:rPr>
          <w:i/>
        </w:rPr>
        <w:t>nacβ1nacβ2</w:t>
      </w:r>
      <w:r w:rsidRPr="006D1F76">
        <w:t xml:space="preserve"> whereas the last three rows</w:t>
      </w:r>
      <w:r>
        <w:t xml:space="preserve"> of plants are represented by</w:t>
      </w:r>
      <w:r w:rsidRPr="006D1F76">
        <w:t xml:space="preserve"> Col-0 wt. A – 35 days after sowing. B – 41 days after sowing. C – 52 days after sowing.</w:t>
      </w:r>
      <w:r>
        <w:t xml:space="preserve"> D – </w:t>
      </w:r>
      <w:r w:rsidRPr="006D1F76">
        <w:t xml:space="preserve">The scheme showing the position of the insert (indicated by grey triangle) in the </w:t>
      </w:r>
      <w:r>
        <w:t xml:space="preserve">T-DNA </w:t>
      </w:r>
      <w:r w:rsidRPr="006D1F76">
        <w:t xml:space="preserve">insertion line SALK_043673 (in NACβ1). Arrows indicate the positions of primers used for genotyping. </w:t>
      </w:r>
      <w:r>
        <w:t>E</w:t>
      </w:r>
      <w:r w:rsidRPr="006D1F76">
        <w:t xml:space="preserve"> – The scheme showing the position of the insert (indicated by grey triangle) in the </w:t>
      </w:r>
      <w:r>
        <w:t xml:space="preserve">T-DNA </w:t>
      </w:r>
      <w:r w:rsidRPr="006D1F76">
        <w:t xml:space="preserve">insertion line GK368-H02 (in NACβ2). Arrows indicate the positions of primers used for genotyping. </w:t>
      </w:r>
      <w:r>
        <w:t>F</w:t>
      </w:r>
      <w:r w:rsidRPr="006D1F76">
        <w:t xml:space="preserve"> – Linear regression</w:t>
      </w:r>
      <w:r>
        <w:t>s</w:t>
      </w:r>
      <w:r w:rsidRPr="006D1F76">
        <w:t xml:space="preserve"> of log</w:t>
      </w:r>
      <w:r w:rsidRPr="006D1F76">
        <w:rPr>
          <w:vertAlign w:val="subscript"/>
        </w:rPr>
        <w:t>2</w:t>
      </w:r>
      <w:r w:rsidRPr="006D1F76">
        <w:t>FPKM values obtained from RNA-seq data and cT values from RT-qPCR for NACβ1 (At1g73230)</w:t>
      </w:r>
      <w:r>
        <w:t>,</w:t>
      </w:r>
      <w:r w:rsidRPr="00F56DA2">
        <w:t xml:space="preserve"> </w:t>
      </w:r>
      <w:r>
        <w:t xml:space="preserve">and </w:t>
      </w:r>
      <w:r w:rsidRPr="006D1F76">
        <w:t>NACβ2 (At1g17880) with correlation coefficient R</w:t>
      </w:r>
      <w:r w:rsidRPr="006D1F76">
        <w:rPr>
          <w:vertAlign w:val="superscript"/>
        </w:rPr>
        <w:t>2</w:t>
      </w:r>
      <w:r w:rsidRPr="006D1F76">
        <w:t>=0.9645</w:t>
      </w:r>
      <w:r>
        <w:t xml:space="preserve"> (</w:t>
      </w:r>
      <w:r w:rsidRPr="006D1F76">
        <w:t>NACβ1</w:t>
      </w:r>
      <w:r>
        <w:t xml:space="preserve">) or </w:t>
      </w:r>
      <w:r w:rsidRPr="006D1F76">
        <w:t>R</w:t>
      </w:r>
      <w:r w:rsidRPr="006D1F76">
        <w:rPr>
          <w:vertAlign w:val="superscript"/>
        </w:rPr>
        <w:t>2</w:t>
      </w:r>
      <w:r w:rsidRPr="006D1F76">
        <w:t>=0.6209</w:t>
      </w:r>
      <w:r>
        <w:t xml:space="preserve"> (</w:t>
      </w:r>
      <w:r w:rsidRPr="006D1F76">
        <w:t>NACβ</w:t>
      </w:r>
      <w:r>
        <w:t>2), respectively.</w:t>
      </w:r>
    </w:p>
    <w:p w14:paraId="24FA2C3E" w14:textId="77777777" w:rsidR="007A0724" w:rsidRPr="006D1F76" w:rsidRDefault="007A0724" w:rsidP="007A0724">
      <w:pPr>
        <w:pStyle w:val="MDPI32textnoindent"/>
      </w:pPr>
      <w:r w:rsidRPr="006D1F76">
        <w:rPr>
          <w:b/>
        </w:rPr>
        <w:t xml:space="preserve">Figure S2 – Flower and silique phenotype of the </w:t>
      </w:r>
      <w:r w:rsidRPr="006D1F76">
        <w:rPr>
          <w:b/>
          <w:i/>
        </w:rPr>
        <w:t xml:space="preserve">nacβ1nacβ2 </w:t>
      </w:r>
      <w:r w:rsidRPr="006D1F76">
        <w:rPr>
          <w:b/>
        </w:rPr>
        <w:t xml:space="preserve">plants. </w:t>
      </w:r>
      <w:r w:rsidRPr="006D1F76">
        <w:t xml:space="preserve">A – Column chart showing </w:t>
      </w:r>
      <w:r>
        <w:t xml:space="preserve">the distribution of various </w:t>
      </w:r>
      <w:r w:rsidRPr="006D1F76">
        <w:t xml:space="preserve">phenotype categories of </w:t>
      </w:r>
      <w:r w:rsidRPr="006D1F76">
        <w:rPr>
          <w:i/>
        </w:rPr>
        <w:t>nacβ1nacβ2</w:t>
      </w:r>
      <w:r w:rsidRPr="006D1F76">
        <w:t xml:space="preserve"> flowers. Wild type flowers are highlighted in black. A total of 202 flowers was observed. C stands for petals, K for sepals, and A for anthers. The number of gynoecia was the same as in wt flowers. B – Box-and-whisker plot showing the median and quartiles revealing the silique length of the </w:t>
      </w:r>
      <w:r w:rsidRPr="006D1F76">
        <w:rPr>
          <w:i/>
        </w:rPr>
        <w:t>nacβ1nacβ2</w:t>
      </w:r>
      <w:r w:rsidRPr="006D1F76">
        <w:t xml:space="preserve">, and Col-0 wt. </w:t>
      </w:r>
      <w:r>
        <w:t>Both datasets were statistically compared by Student’s t-test, p-value of which is given.</w:t>
      </w:r>
      <w:r w:rsidRPr="006D1F76">
        <w:t xml:space="preserve"> C – Box-and-whisker plot showing the median and quartiles revealing the number of seeds per silique.</w:t>
      </w:r>
      <w:r w:rsidRPr="00775BA2">
        <w:t xml:space="preserve"> </w:t>
      </w:r>
      <w:r>
        <w:t>Both datasets were statistically compared by Student’s t-test, p-value of which is given.</w:t>
      </w:r>
      <w:r w:rsidRPr="006D1F76">
        <w:t xml:space="preserve"> D – Column chart showing the proportion of viable green seeds in </w:t>
      </w:r>
      <w:r w:rsidRPr="006D1F76">
        <w:rPr>
          <w:i/>
        </w:rPr>
        <w:t xml:space="preserve">nacβ1nacβ2 </w:t>
      </w:r>
      <w:r w:rsidRPr="006D1F76">
        <w:t>and Col-0 wt.</w:t>
      </w:r>
      <w:r>
        <w:t xml:space="preserve"> Both datasets were statistically compared by Student’s t-test, p-value of which is given.</w:t>
      </w:r>
    </w:p>
    <w:p w14:paraId="2C8018CC" w14:textId="77777777" w:rsidR="007A0724" w:rsidRPr="006D1F76" w:rsidRDefault="007A0724" w:rsidP="007A0724">
      <w:pPr>
        <w:pStyle w:val="MDPI32textnoindent"/>
      </w:pPr>
      <w:r w:rsidRPr="006D1F76">
        <w:rPr>
          <w:b/>
          <w:bCs/>
        </w:rPr>
        <w:t>Figure S3 –</w:t>
      </w:r>
      <w:r w:rsidRPr="006D1F76">
        <w:t xml:space="preserve"> </w:t>
      </w:r>
      <w:r w:rsidRPr="006D1F76">
        <w:rPr>
          <w:b/>
          <w:bCs/>
        </w:rPr>
        <w:t>Validation of RNAseq data with qRT-PCR</w:t>
      </w:r>
      <w:r w:rsidRPr="006D1F76">
        <w:t>. Linear regression of log</w:t>
      </w:r>
      <w:r w:rsidRPr="006D1F76">
        <w:rPr>
          <w:vertAlign w:val="subscript"/>
        </w:rPr>
        <w:t>2</w:t>
      </w:r>
      <w:r w:rsidRPr="006D1F76">
        <w:t xml:space="preserve">FPKM values obtained from RNA-seq data and cT values from RT-qPCR for each genotype for twelve DE genes in </w:t>
      </w:r>
      <w:r w:rsidRPr="006D1F76">
        <w:rPr>
          <w:i/>
        </w:rPr>
        <w:t>nacβ1nacβ2 (</w:t>
      </w:r>
      <w:r w:rsidRPr="006D1F76">
        <w:t>At1g17880, At1g73230, At2g20142, At5g64120, At2g43510, At3g12580, At5g52390, At3g12390, At3g49470, At5g13850, At4g10480, At1g33040) with correlation coefficient R</w:t>
      </w:r>
      <w:r w:rsidRPr="006D1F76">
        <w:rPr>
          <w:vertAlign w:val="superscript"/>
        </w:rPr>
        <w:t xml:space="preserve">2 </w:t>
      </w:r>
      <w:r w:rsidRPr="006D1F76">
        <w:t>= 0.7842.</w:t>
      </w:r>
    </w:p>
    <w:p w14:paraId="49440E85" w14:textId="71455C7C" w:rsidR="007A0724" w:rsidRPr="00744116" w:rsidRDefault="007A0724" w:rsidP="007A0724">
      <w:pPr>
        <w:pStyle w:val="MDPI32textnoindent"/>
      </w:pPr>
      <w:r w:rsidRPr="006D1F76">
        <w:rPr>
          <w:b/>
        </w:rPr>
        <w:t xml:space="preserve">Figure S4 – Germination of </w:t>
      </w:r>
      <w:r w:rsidRPr="006D1F76">
        <w:rPr>
          <w:b/>
          <w:i/>
        </w:rPr>
        <w:t xml:space="preserve">nacβ1nacβ2 </w:t>
      </w:r>
      <w:r w:rsidRPr="006D1F76">
        <w:rPr>
          <w:b/>
        </w:rPr>
        <w:t xml:space="preserve">under salt and osmotic stress. </w:t>
      </w:r>
      <w:r w:rsidRPr="006D1F76">
        <w:t>A –</w:t>
      </w:r>
      <w:r w:rsidRPr="006D1F76">
        <w:rPr>
          <w:b/>
        </w:rPr>
        <w:t xml:space="preserve"> </w:t>
      </w:r>
      <w:r w:rsidRPr="006D1F76">
        <w:t xml:space="preserve">Germination rate of Col-0 wt compared to </w:t>
      </w:r>
      <w:r w:rsidRPr="006D1F76">
        <w:rPr>
          <w:i/>
        </w:rPr>
        <w:t>nacβ1nacβ2</w:t>
      </w:r>
      <w:r w:rsidRPr="006D1F76">
        <w:t xml:space="preserve"> under salt stress caused by 50 mM, 100mM, 125 mM, and 150 mM NaCl. Error bars represent ±5%. The calculations of germinated seeds were performed 4, 6, 8, 11, and 13 days after seed sowing. B – Germination rate of Col-0 wt compared to </w:t>
      </w:r>
      <w:r w:rsidRPr="006D1F76">
        <w:rPr>
          <w:i/>
        </w:rPr>
        <w:t>nacβ1nacβ2</w:t>
      </w:r>
      <w:r w:rsidRPr="006D1F76">
        <w:t xml:space="preserve"> under osmotic stress caused by 250 mM, 300mM, and 350 mM mannitol. Error bars represent ±5%. The calculations of germinated seeds were performed 4, 6, 8, 11, and 13 days after seed sowing. C – A representative plate of seedlings </w:t>
      </w:r>
      <w:r w:rsidRPr="006D1F76">
        <w:lastRenderedPageBreak/>
        <w:t xml:space="preserve">13 days after sowing on 125 mM NaCl. D – A representative plate of seedlings 13 days after sowing on 150 mM NaCl. E </w:t>
      </w:r>
      <w:r w:rsidR="001F05DA" w:rsidRPr="006D1F76">
        <w:t>–</w:t>
      </w:r>
      <w:bookmarkStart w:id="0" w:name="_GoBack"/>
      <w:bookmarkEnd w:id="0"/>
      <w:r w:rsidRPr="006D1F76">
        <w:t xml:space="preserve"> A representative plate of seedlings 13 days after sowing under control conditions without added stress agent.</w:t>
      </w:r>
    </w:p>
    <w:p w14:paraId="52EDD7F0" w14:textId="77777777" w:rsidR="007A0724" w:rsidRDefault="007A0724">
      <w:r>
        <w:br w:type="page"/>
      </w:r>
    </w:p>
    <w:p w14:paraId="0981E0F1" w14:textId="77777777" w:rsidR="007A0724" w:rsidRPr="00B9357C" w:rsidRDefault="007A0724" w:rsidP="007A0724">
      <w:pPr>
        <w:pStyle w:val="MDPI32textnoindent"/>
        <w:rPr>
          <w:b/>
        </w:rPr>
      </w:pPr>
      <w:r w:rsidRPr="00B9357C">
        <w:rPr>
          <w:b/>
        </w:rPr>
        <w:lastRenderedPageBreak/>
        <w:t xml:space="preserve">Table S1 – Table of primers used for genotyping of the insertion lines and for cloning of NACβ genomic fragments. </w:t>
      </w:r>
    </w:p>
    <w:p w14:paraId="569F2D5B" w14:textId="77777777" w:rsidR="007A0724" w:rsidRPr="00B9357C" w:rsidRDefault="007A0724" w:rsidP="007A0724">
      <w:pPr>
        <w:pStyle w:val="MDPI32textnoindent"/>
        <w:rPr>
          <w:b/>
        </w:rPr>
      </w:pPr>
      <w:r w:rsidRPr="00B9357C">
        <w:rPr>
          <w:b/>
        </w:rPr>
        <w:t>Table S2 – Table of primers used for qRT-PCR amplification.</w:t>
      </w:r>
    </w:p>
    <w:p w14:paraId="339BD18E" w14:textId="77777777" w:rsidR="007A0724" w:rsidRPr="006D1F76" w:rsidRDefault="007A0724" w:rsidP="007A0724">
      <w:pPr>
        <w:pStyle w:val="MDPI32textnoindent"/>
      </w:pPr>
      <w:r w:rsidRPr="00B9357C">
        <w:rPr>
          <w:b/>
        </w:rPr>
        <w:t xml:space="preserve">Table S3 – Table of all differentially expressed genes in </w:t>
      </w:r>
      <w:r w:rsidRPr="00B9357C">
        <w:rPr>
          <w:b/>
          <w:i/>
        </w:rPr>
        <w:t>nacβ1nacβ2.</w:t>
      </w:r>
      <w:r w:rsidRPr="006D1F76">
        <w:rPr>
          <w:i/>
        </w:rPr>
        <w:t xml:space="preserve"> </w:t>
      </w:r>
      <w:r w:rsidRPr="006D1F76">
        <w:t>The table consists of 13 columns as follows: Gene ID, fold change, fold change in log</w:t>
      </w:r>
      <w:r w:rsidRPr="006D1F76">
        <w:rPr>
          <w:vertAlign w:val="subscript"/>
        </w:rPr>
        <w:t>2</w:t>
      </w:r>
      <w:r w:rsidRPr="006D1F76">
        <w:t xml:space="preserve"> scale, adjusted p-value, symbol of gene and brief description obtained from Araport database and GO terms for gene groups mentioned in the article. Genes are sorted according to their log</w:t>
      </w:r>
      <w:r w:rsidRPr="006D1F76">
        <w:rPr>
          <w:vertAlign w:val="subscript"/>
        </w:rPr>
        <w:t>2</w:t>
      </w:r>
      <w:r w:rsidRPr="006D1F76">
        <w:t>Fold Change.</w:t>
      </w:r>
    </w:p>
    <w:p w14:paraId="7BC2F1B9" w14:textId="77777777" w:rsidR="007A0724" w:rsidRPr="006D1F76" w:rsidRDefault="007A0724" w:rsidP="007A0724">
      <w:pPr>
        <w:pStyle w:val="MDPI32textnoindent"/>
      </w:pPr>
      <w:r w:rsidRPr="00B9357C">
        <w:rPr>
          <w:b/>
        </w:rPr>
        <w:t xml:space="preserve">Table S4 – Table of all differentially expressed proteins in </w:t>
      </w:r>
      <w:r w:rsidRPr="00B9357C">
        <w:rPr>
          <w:b/>
          <w:i/>
        </w:rPr>
        <w:t>nacβ1nacβ2.</w:t>
      </w:r>
      <w:r w:rsidRPr="006D1F76">
        <w:rPr>
          <w:i/>
        </w:rPr>
        <w:t xml:space="preserve"> </w:t>
      </w:r>
      <w:r w:rsidRPr="006D1F76">
        <w:t>The table consists of 20 columns as follows: Protein group accession number, Gene ID, symbol, Brief Description obtained from v1.10.4, Araport11 Release 06/2016 database, logFC, FC, adjusted p-value, p-value and GO terms for protein groups mentioned in the article. Proteins are sorted according log</w:t>
      </w:r>
      <w:r w:rsidRPr="006D1F76">
        <w:rPr>
          <w:vertAlign w:val="subscript"/>
        </w:rPr>
        <w:t>2</w:t>
      </w:r>
      <w:r w:rsidRPr="006D1F76">
        <w:t>Fold Change.</w:t>
      </w:r>
    </w:p>
    <w:p w14:paraId="00C04ECE" w14:textId="77777777" w:rsidR="007A0724" w:rsidRDefault="007A0724" w:rsidP="007A0724">
      <w:pPr>
        <w:pStyle w:val="MDPI32textnoindent"/>
        <w:rPr>
          <w:b/>
        </w:rPr>
      </w:pPr>
    </w:p>
    <w:p w14:paraId="6C9BED68" w14:textId="77777777" w:rsidR="007A0724" w:rsidRPr="007A0724" w:rsidRDefault="007A0724" w:rsidP="007A0724">
      <w:pPr>
        <w:pStyle w:val="MDPI32textnoindent"/>
        <w:rPr>
          <w:bCs/>
        </w:rPr>
      </w:pPr>
      <w:r w:rsidRPr="007A0724">
        <w:rPr>
          <w:bCs/>
        </w:rPr>
        <w:t>Tables S1</w:t>
      </w:r>
      <w:r w:rsidRPr="007A0724">
        <w:rPr>
          <w:bCs/>
        </w:rPr>
        <w:t>–</w:t>
      </w:r>
      <w:r w:rsidRPr="007A0724">
        <w:rPr>
          <w:bCs/>
        </w:rPr>
        <w:t>S4 are available as *.xls files.</w:t>
      </w:r>
    </w:p>
    <w:p w14:paraId="34EF8DF1" w14:textId="77777777" w:rsidR="007A0724" w:rsidRDefault="007A0724" w:rsidP="007A0724">
      <w:pPr>
        <w:pStyle w:val="MDPI32textnoindent"/>
        <w:rPr>
          <w:b/>
        </w:rPr>
      </w:pPr>
    </w:p>
    <w:p w14:paraId="65252FCA" w14:textId="77777777" w:rsidR="007A0724" w:rsidRDefault="007A0724" w:rsidP="007A0724">
      <w:pPr>
        <w:pStyle w:val="MDPI32textnoindent"/>
        <w:rPr>
          <w:b/>
        </w:rPr>
      </w:pPr>
    </w:p>
    <w:p w14:paraId="5EA73F08" w14:textId="77777777" w:rsidR="007A0724" w:rsidRDefault="007A0724">
      <w:pPr>
        <w:rPr>
          <w:rFonts w:ascii="Palatino Linotype" w:eastAsia="Times New Roman" w:hAnsi="Palatino Linotype" w:cs="Times New Roman"/>
          <w:b/>
          <w:snapToGrid w:val="0"/>
          <w:color w:val="000000"/>
          <w:sz w:val="20"/>
          <w:lang w:val="en-US" w:eastAsia="de-DE" w:bidi="en-US"/>
        </w:rPr>
      </w:pPr>
      <w:r>
        <w:rPr>
          <w:b/>
        </w:rPr>
        <w:br w:type="page"/>
      </w:r>
    </w:p>
    <w:p w14:paraId="512A1043" w14:textId="77777777" w:rsidR="007A0724" w:rsidRDefault="007A0724" w:rsidP="007A0724">
      <w:pPr>
        <w:pStyle w:val="MDPI32textnoindent"/>
      </w:pPr>
      <w:r w:rsidRPr="00B9357C">
        <w:rPr>
          <w:b/>
        </w:rPr>
        <w:lastRenderedPageBreak/>
        <w:t xml:space="preserve">Table S5 – Table of comparison of DE genes and proteins in </w:t>
      </w:r>
      <w:r w:rsidRPr="00B9357C">
        <w:rPr>
          <w:b/>
          <w:i/>
        </w:rPr>
        <w:t xml:space="preserve">nacβ1nacβ2 </w:t>
      </w:r>
      <w:r w:rsidRPr="00B9357C">
        <w:rPr>
          <w:b/>
        </w:rPr>
        <w:t>proteome and transcriptome.</w:t>
      </w:r>
      <w:r w:rsidRPr="006D1F76">
        <w:t xml:space="preserve"> The table shows numbers of differentially expressed proteins/genes present in both analyses as well as total number of discovered upregulated/downregulated proteins and genes.</w:t>
      </w:r>
    </w:p>
    <w:p w14:paraId="55BECBEE" w14:textId="77777777" w:rsidR="007A0724" w:rsidRDefault="007A0724">
      <w:pPr>
        <w:rPr>
          <w:b/>
          <w:bCs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811"/>
        <w:gridCol w:w="1811"/>
        <w:gridCol w:w="1811"/>
        <w:gridCol w:w="1811"/>
        <w:gridCol w:w="1812"/>
      </w:tblGrid>
      <w:tr w:rsidR="007A0724" w14:paraId="7D6E9A39" w14:textId="77777777" w:rsidTr="005F2B58">
        <w:tc>
          <w:tcPr>
            <w:tcW w:w="3622" w:type="dxa"/>
            <w:gridSpan w:val="2"/>
            <w:vMerge w:val="restart"/>
            <w:tcBorders>
              <w:right w:val="single" w:sz="24" w:space="0" w:color="auto"/>
            </w:tcBorders>
          </w:tcPr>
          <w:p w14:paraId="13A25164" w14:textId="77777777" w:rsidR="007A0724" w:rsidRDefault="007A0724" w:rsidP="005F2B58"/>
        </w:tc>
        <w:tc>
          <w:tcPr>
            <w:tcW w:w="3622" w:type="dxa"/>
            <w:gridSpan w:val="2"/>
            <w:tcBorders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55191A55" w14:textId="77777777" w:rsidR="007A0724" w:rsidRDefault="007A0724" w:rsidP="005F2B58">
            <w:r>
              <w:t>transcriptome</w:t>
            </w:r>
          </w:p>
        </w:tc>
        <w:tc>
          <w:tcPr>
            <w:tcW w:w="1812" w:type="dxa"/>
            <w:vMerge w:val="restart"/>
            <w:tcBorders>
              <w:left w:val="single" w:sz="24" w:space="0" w:color="auto"/>
              <w:right w:val="single" w:sz="2" w:space="0" w:color="auto"/>
            </w:tcBorders>
            <w:vAlign w:val="bottom"/>
          </w:tcPr>
          <w:p w14:paraId="3F1400C7" w14:textId="77777777" w:rsidR="007A0724" w:rsidRDefault="007A0724" w:rsidP="005F2B58">
            <w:r>
              <w:t>total</w:t>
            </w:r>
          </w:p>
        </w:tc>
      </w:tr>
      <w:tr w:rsidR="007A0724" w14:paraId="502A220B" w14:textId="77777777" w:rsidTr="005F2B58">
        <w:tc>
          <w:tcPr>
            <w:tcW w:w="3622" w:type="dxa"/>
            <w:gridSpan w:val="2"/>
            <w:vMerge/>
            <w:tcBorders>
              <w:bottom w:val="single" w:sz="24" w:space="0" w:color="auto"/>
              <w:right w:val="single" w:sz="24" w:space="0" w:color="auto"/>
            </w:tcBorders>
          </w:tcPr>
          <w:p w14:paraId="171F64EF" w14:textId="77777777" w:rsidR="007A0724" w:rsidRDefault="007A0724" w:rsidP="005F2B58"/>
        </w:tc>
        <w:tc>
          <w:tcPr>
            <w:tcW w:w="1811" w:type="dxa"/>
            <w:tcBorders>
              <w:left w:val="single" w:sz="24" w:space="0" w:color="auto"/>
              <w:bottom w:val="single" w:sz="24" w:space="0" w:color="auto"/>
            </w:tcBorders>
          </w:tcPr>
          <w:p w14:paraId="2A6FF1C7" w14:textId="77777777" w:rsidR="007A0724" w:rsidRDefault="007A0724" w:rsidP="005F2B58">
            <w:r>
              <w:t>up-regulated</w:t>
            </w:r>
          </w:p>
        </w:tc>
        <w:tc>
          <w:tcPr>
            <w:tcW w:w="1811" w:type="dxa"/>
            <w:tcBorders>
              <w:bottom w:val="single" w:sz="24" w:space="0" w:color="auto"/>
              <w:right w:val="single" w:sz="24" w:space="0" w:color="auto"/>
            </w:tcBorders>
          </w:tcPr>
          <w:p w14:paraId="239B27AD" w14:textId="77777777" w:rsidR="007A0724" w:rsidRDefault="007A0724" w:rsidP="005F2B58">
            <w:r>
              <w:t>down-reguated</w:t>
            </w:r>
          </w:p>
        </w:tc>
        <w:tc>
          <w:tcPr>
            <w:tcW w:w="1812" w:type="dxa"/>
            <w:vMerge/>
            <w:tcBorders>
              <w:left w:val="single" w:sz="24" w:space="0" w:color="auto"/>
              <w:bottom w:val="single" w:sz="24" w:space="0" w:color="auto"/>
              <w:right w:val="single" w:sz="2" w:space="0" w:color="auto"/>
            </w:tcBorders>
          </w:tcPr>
          <w:p w14:paraId="124DDD29" w14:textId="77777777" w:rsidR="007A0724" w:rsidRDefault="007A0724" w:rsidP="005F2B58"/>
        </w:tc>
      </w:tr>
      <w:tr w:rsidR="007A0724" w14:paraId="232E549E" w14:textId="77777777" w:rsidTr="005F2B58">
        <w:tc>
          <w:tcPr>
            <w:tcW w:w="1811" w:type="dxa"/>
            <w:vMerge w:val="restart"/>
            <w:tcBorders>
              <w:top w:val="single" w:sz="24" w:space="0" w:color="auto"/>
            </w:tcBorders>
          </w:tcPr>
          <w:p w14:paraId="7B68EA04" w14:textId="77777777" w:rsidR="007A0724" w:rsidRDefault="007A0724" w:rsidP="005F2B58">
            <w:r>
              <w:t>proteome</w:t>
            </w:r>
          </w:p>
        </w:tc>
        <w:tc>
          <w:tcPr>
            <w:tcW w:w="1811" w:type="dxa"/>
            <w:tcBorders>
              <w:top w:val="single" w:sz="24" w:space="0" w:color="auto"/>
              <w:right w:val="single" w:sz="24" w:space="0" w:color="auto"/>
            </w:tcBorders>
          </w:tcPr>
          <w:p w14:paraId="02E69C7C" w14:textId="77777777" w:rsidR="007A0724" w:rsidRDefault="007A0724" w:rsidP="005F2B58">
            <w:r>
              <w:t>up-regulated</w:t>
            </w:r>
          </w:p>
        </w:tc>
        <w:tc>
          <w:tcPr>
            <w:tcW w:w="1811" w:type="dxa"/>
            <w:tcBorders>
              <w:top w:val="single" w:sz="24" w:space="0" w:color="auto"/>
              <w:left w:val="single" w:sz="24" w:space="0" w:color="auto"/>
            </w:tcBorders>
          </w:tcPr>
          <w:p w14:paraId="640DEC6E" w14:textId="77777777" w:rsidR="007A0724" w:rsidRDefault="007A0724" w:rsidP="005F2B58">
            <w:r>
              <w:t>15</w:t>
            </w:r>
          </w:p>
        </w:tc>
        <w:tc>
          <w:tcPr>
            <w:tcW w:w="1811" w:type="dxa"/>
            <w:tcBorders>
              <w:top w:val="single" w:sz="24" w:space="0" w:color="auto"/>
              <w:right w:val="single" w:sz="24" w:space="0" w:color="auto"/>
            </w:tcBorders>
          </w:tcPr>
          <w:p w14:paraId="05341853" w14:textId="77777777" w:rsidR="007A0724" w:rsidRDefault="007A0724" w:rsidP="005F2B58">
            <w:r>
              <w:t>1</w:t>
            </w:r>
          </w:p>
        </w:tc>
        <w:tc>
          <w:tcPr>
            <w:tcW w:w="1812" w:type="dxa"/>
            <w:tcBorders>
              <w:top w:val="single" w:sz="24" w:space="0" w:color="auto"/>
              <w:left w:val="single" w:sz="24" w:space="0" w:color="auto"/>
              <w:right w:val="single" w:sz="2" w:space="0" w:color="auto"/>
            </w:tcBorders>
          </w:tcPr>
          <w:p w14:paraId="3A95E2E6" w14:textId="77777777" w:rsidR="007A0724" w:rsidRDefault="007A0724" w:rsidP="005F2B58">
            <w:r>
              <w:t>170</w:t>
            </w:r>
          </w:p>
        </w:tc>
      </w:tr>
      <w:tr w:rsidR="007A0724" w14:paraId="71726627" w14:textId="77777777" w:rsidTr="005F2B58">
        <w:tc>
          <w:tcPr>
            <w:tcW w:w="1811" w:type="dxa"/>
            <w:vMerge/>
            <w:tcBorders>
              <w:bottom w:val="single" w:sz="24" w:space="0" w:color="auto"/>
            </w:tcBorders>
          </w:tcPr>
          <w:p w14:paraId="4370FAAE" w14:textId="77777777" w:rsidR="007A0724" w:rsidRDefault="007A0724" w:rsidP="005F2B58"/>
        </w:tc>
        <w:tc>
          <w:tcPr>
            <w:tcW w:w="1811" w:type="dxa"/>
            <w:tcBorders>
              <w:bottom w:val="single" w:sz="24" w:space="0" w:color="auto"/>
              <w:right w:val="single" w:sz="24" w:space="0" w:color="auto"/>
            </w:tcBorders>
          </w:tcPr>
          <w:p w14:paraId="604DB169" w14:textId="77777777" w:rsidR="007A0724" w:rsidRDefault="007A0724" w:rsidP="005F2B58">
            <w:r>
              <w:t>down-regulated</w:t>
            </w:r>
          </w:p>
        </w:tc>
        <w:tc>
          <w:tcPr>
            <w:tcW w:w="1811" w:type="dxa"/>
            <w:tcBorders>
              <w:left w:val="single" w:sz="24" w:space="0" w:color="auto"/>
              <w:bottom w:val="single" w:sz="24" w:space="0" w:color="auto"/>
            </w:tcBorders>
          </w:tcPr>
          <w:p w14:paraId="1F9BFEEF" w14:textId="77777777" w:rsidR="007A0724" w:rsidRDefault="007A0724" w:rsidP="005F2B58">
            <w:r>
              <w:t>0</w:t>
            </w:r>
          </w:p>
        </w:tc>
        <w:tc>
          <w:tcPr>
            <w:tcW w:w="1811" w:type="dxa"/>
            <w:tcBorders>
              <w:bottom w:val="single" w:sz="24" w:space="0" w:color="auto"/>
              <w:right w:val="single" w:sz="24" w:space="0" w:color="auto"/>
            </w:tcBorders>
          </w:tcPr>
          <w:p w14:paraId="3E8FDEFB" w14:textId="77777777" w:rsidR="007A0724" w:rsidRDefault="007A0724" w:rsidP="005F2B58">
            <w:r>
              <w:t>98</w:t>
            </w:r>
          </w:p>
        </w:tc>
        <w:tc>
          <w:tcPr>
            <w:tcW w:w="1812" w:type="dxa"/>
            <w:tcBorders>
              <w:left w:val="single" w:sz="24" w:space="0" w:color="auto"/>
              <w:bottom w:val="single" w:sz="24" w:space="0" w:color="auto"/>
              <w:right w:val="single" w:sz="2" w:space="0" w:color="auto"/>
            </w:tcBorders>
          </w:tcPr>
          <w:p w14:paraId="306A19F4" w14:textId="77777777" w:rsidR="007A0724" w:rsidRDefault="007A0724" w:rsidP="005F2B58">
            <w:r>
              <w:t>290</w:t>
            </w:r>
          </w:p>
        </w:tc>
      </w:tr>
      <w:tr w:rsidR="007A0724" w14:paraId="438FF793" w14:textId="77777777" w:rsidTr="005F2B58">
        <w:tc>
          <w:tcPr>
            <w:tcW w:w="3622" w:type="dxa"/>
            <w:gridSpan w:val="2"/>
            <w:tcBorders>
              <w:top w:val="single" w:sz="24" w:space="0" w:color="auto"/>
              <w:right w:val="single" w:sz="24" w:space="0" w:color="auto"/>
            </w:tcBorders>
            <w:vAlign w:val="center"/>
          </w:tcPr>
          <w:p w14:paraId="4CC5CF11" w14:textId="77777777" w:rsidR="007A0724" w:rsidRDefault="007A0724" w:rsidP="005F2B58">
            <w:pPr>
              <w:jc w:val="right"/>
            </w:pPr>
            <w:r>
              <w:t>total</w:t>
            </w:r>
          </w:p>
        </w:tc>
        <w:tc>
          <w:tcPr>
            <w:tcW w:w="1811" w:type="dxa"/>
            <w:tcBorders>
              <w:top w:val="single" w:sz="24" w:space="0" w:color="auto"/>
              <w:left w:val="single" w:sz="24" w:space="0" w:color="auto"/>
            </w:tcBorders>
          </w:tcPr>
          <w:p w14:paraId="5BA5A467" w14:textId="77777777" w:rsidR="007A0724" w:rsidRDefault="007A0724" w:rsidP="005F2B58">
            <w:r>
              <w:t>363</w:t>
            </w:r>
          </w:p>
        </w:tc>
        <w:tc>
          <w:tcPr>
            <w:tcW w:w="1811" w:type="dxa"/>
            <w:tcBorders>
              <w:top w:val="single" w:sz="24" w:space="0" w:color="auto"/>
              <w:right w:val="single" w:sz="24" w:space="0" w:color="auto"/>
            </w:tcBorders>
          </w:tcPr>
          <w:p w14:paraId="7CA0EC77" w14:textId="77777777" w:rsidR="007A0724" w:rsidRDefault="007A0724" w:rsidP="005F2B58">
            <w:r>
              <w:t>1602</w:t>
            </w:r>
          </w:p>
        </w:tc>
        <w:tc>
          <w:tcPr>
            <w:tcW w:w="1812" w:type="dxa"/>
            <w:tcBorders>
              <w:top w:val="single" w:sz="24" w:space="0" w:color="auto"/>
              <w:left w:val="single" w:sz="24" w:space="0" w:color="auto"/>
              <w:right w:val="single" w:sz="2" w:space="0" w:color="auto"/>
            </w:tcBorders>
          </w:tcPr>
          <w:p w14:paraId="449C8465" w14:textId="77777777" w:rsidR="007A0724" w:rsidRDefault="007A0724" w:rsidP="005F2B58"/>
        </w:tc>
      </w:tr>
    </w:tbl>
    <w:p w14:paraId="051996ED" w14:textId="77777777" w:rsidR="007A0724" w:rsidRDefault="007A0724">
      <w:pPr>
        <w:rPr>
          <w:rFonts w:ascii="Palatino Linotype" w:eastAsia="Times New Roman" w:hAnsi="Palatino Linotype" w:cs="Times New Roman"/>
          <w:b/>
          <w:bCs/>
          <w:i/>
          <w:noProof/>
          <w:snapToGrid w:val="0"/>
          <w:color w:val="000000"/>
          <w:sz w:val="20"/>
          <w:lang w:val="en-US" w:eastAsia="de-DE" w:bidi="en-US"/>
        </w:rPr>
      </w:pPr>
      <w:r>
        <w:rPr>
          <w:b/>
          <w:bCs/>
        </w:rPr>
        <w:br w:type="page"/>
      </w:r>
    </w:p>
    <w:p w14:paraId="41BFB161" w14:textId="77777777" w:rsidR="007A0724" w:rsidRPr="007A0724" w:rsidRDefault="007A0724" w:rsidP="007A0724">
      <w:pPr>
        <w:pStyle w:val="MDPI22heading2"/>
        <w:rPr>
          <w:b/>
          <w:bCs/>
        </w:rPr>
      </w:pPr>
      <w:r w:rsidRPr="007A0724">
        <w:rPr>
          <w:b/>
          <w:bCs/>
        </w:rPr>
        <w:lastRenderedPageBreak/>
        <w:t>Supplementary figure legends</w:t>
      </w:r>
    </w:p>
    <w:p w14:paraId="7204A150" w14:textId="77777777" w:rsidR="007A0724" w:rsidRPr="006D1F76" w:rsidRDefault="007A0724" w:rsidP="007A0724">
      <w:pPr>
        <w:pStyle w:val="MDPI32textnoindent"/>
      </w:pPr>
      <w:r w:rsidRPr="006D1F76">
        <w:rPr>
          <w:b/>
        </w:rPr>
        <w:t xml:space="preserve">Figure S1 – Development of </w:t>
      </w:r>
      <w:r w:rsidRPr="006D1F76">
        <w:rPr>
          <w:b/>
          <w:i/>
        </w:rPr>
        <w:t xml:space="preserve">nacβ1nacβ2 </w:t>
      </w:r>
      <w:r w:rsidRPr="006D1F76">
        <w:rPr>
          <w:b/>
        </w:rPr>
        <w:t>and Col-0 wt</w:t>
      </w:r>
      <w:r>
        <w:rPr>
          <w:b/>
        </w:rPr>
        <w:t>, and c</w:t>
      </w:r>
      <w:r w:rsidRPr="006D1F76">
        <w:rPr>
          <w:b/>
        </w:rPr>
        <w:t xml:space="preserve">haracterization of </w:t>
      </w:r>
      <w:r w:rsidRPr="006D1F76">
        <w:rPr>
          <w:b/>
          <w:i/>
        </w:rPr>
        <w:t>nacβ</w:t>
      </w:r>
      <w:r w:rsidRPr="006D1F76">
        <w:rPr>
          <w:b/>
        </w:rPr>
        <w:t xml:space="preserve"> single mutant insertion lines. </w:t>
      </w:r>
      <w:r w:rsidRPr="008A2FAF">
        <w:rPr>
          <w:bCs/>
        </w:rPr>
        <w:t>A–C</w:t>
      </w:r>
      <w:r>
        <w:rPr>
          <w:b/>
        </w:rPr>
        <w:t xml:space="preserve"> </w:t>
      </w:r>
      <w:r w:rsidRPr="006D1F76">
        <w:t xml:space="preserve">Comparison of the </w:t>
      </w:r>
      <w:r w:rsidRPr="006D1F76">
        <w:rPr>
          <w:i/>
        </w:rPr>
        <w:t>nacβ1nacβ2</w:t>
      </w:r>
      <w:r w:rsidRPr="006D1F76">
        <w:t xml:space="preserve"> and Col-0 wt development under the same conditions. </w:t>
      </w:r>
      <w:r>
        <w:t>The f</w:t>
      </w:r>
      <w:r w:rsidRPr="006D1F76">
        <w:t xml:space="preserve">irst six rows </w:t>
      </w:r>
      <w:r>
        <w:t xml:space="preserve">of plants are </w:t>
      </w:r>
      <w:r w:rsidRPr="006D1F76">
        <w:t>represent</w:t>
      </w:r>
      <w:r>
        <w:t>ed by</w:t>
      </w:r>
      <w:r w:rsidRPr="006D1F76">
        <w:t xml:space="preserve"> </w:t>
      </w:r>
      <w:r w:rsidRPr="006D1F76">
        <w:rPr>
          <w:i/>
        </w:rPr>
        <w:t>nacβ1nacβ2</w:t>
      </w:r>
      <w:r w:rsidRPr="006D1F76">
        <w:t xml:space="preserve"> whereas the last three rows</w:t>
      </w:r>
      <w:r>
        <w:t xml:space="preserve"> of plants are represented by</w:t>
      </w:r>
      <w:r w:rsidRPr="006D1F76">
        <w:t xml:space="preserve"> Col-0 wt. A – 35 days after sowing. B – 41 days after sowing. C – 52 days after sowing.</w:t>
      </w:r>
      <w:r>
        <w:t xml:space="preserve"> D – </w:t>
      </w:r>
      <w:r w:rsidRPr="006D1F76">
        <w:t xml:space="preserve">The scheme showing the position of the insert (indicated by grey triangle) in the </w:t>
      </w:r>
      <w:r>
        <w:t xml:space="preserve">T-DNA </w:t>
      </w:r>
      <w:r w:rsidRPr="006D1F76">
        <w:t xml:space="preserve">insertion line SALK_043673 (in </w:t>
      </w:r>
      <w:r w:rsidRPr="007A0724">
        <w:rPr>
          <w:i/>
          <w:iCs/>
        </w:rPr>
        <w:t>NACβ1</w:t>
      </w:r>
      <w:r w:rsidRPr="006D1F76">
        <w:t xml:space="preserve">). Arrows indicate the positions of primers used for genotyping. </w:t>
      </w:r>
      <w:r>
        <w:t>E</w:t>
      </w:r>
      <w:r w:rsidRPr="006D1F76">
        <w:t xml:space="preserve"> – The scheme showing the position of the insert (indicated by grey triangle) in the </w:t>
      </w:r>
      <w:r>
        <w:t xml:space="preserve">T-DNA </w:t>
      </w:r>
      <w:r w:rsidRPr="006D1F76">
        <w:t xml:space="preserve">insertion line GK368-H02 (in </w:t>
      </w:r>
      <w:r w:rsidRPr="007A0724">
        <w:rPr>
          <w:i/>
          <w:iCs/>
        </w:rPr>
        <w:t>NACβ2</w:t>
      </w:r>
      <w:r w:rsidRPr="006D1F76">
        <w:t xml:space="preserve">). Arrows indicate the positions of primers used for genotyping. </w:t>
      </w:r>
      <w:r>
        <w:t>F</w:t>
      </w:r>
      <w:r w:rsidRPr="006D1F76">
        <w:t xml:space="preserve"> – Linear regression</w:t>
      </w:r>
      <w:r>
        <w:t>s</w:t>
      </w:r>
      <w:r w:rsidRPr="006D1F76">
        <w:t xml:space="preserve"> of log</w:t>
      </w:r>
      <w:r w:rsidRPr="006D1F76">
        <w:rPr>
          <w:vertAlign w:val="subscript"/>
        </w:rPr>
        <w:t>2</w:t>
      </w:r>
      <w:r w:rsidRPr="006D1F76">
        <w:t xml:space="preserve">FPKM values obtained from RNA-seq data and cT values from RT-qPCR for </w:t>
      </w:r>
      <w:r w:rsidRPr="007A0724">
        <w:rPr>
          <w:i/>
          <w:iCs/>
        </w:rPr>
        <w:t>NACβ1</w:t>
      </w:r>
      <w:r w:rsidRPr="006D1F76">
        <w:t xml:space="preserve"> (At1g73230)</w:t>
      </w:r>
      <w:r>
        <w:t>,</w:t>
      </w:r>
      <w:r w:rsidRPr="00F56DA2">
        <w:t xml:space="preserve"> </w:t>
      </w:r>
      <w:r>
        <w:t xml:space="preserve">and </w:t>
      </w:r>
      <w:r w:rsidRPr="007A0724">
        <w:rPr>
          <w:i/>
          <w:iCs/>
        </w:rPr>
        <w:t>NACβ2</w:t>
      </w:r>
      <w:r w:rsidRPr="006D1F76">
        <w:t xml:space="preserve"> (At1g17880) with correlation coefficient R</w:t>
      </w:r>
      <w:r w:rsidRPr="006D1F76">
        <w:rPr>
          <w:vertAlign w:val="superscript"/>
        </w:rPr>
        <w:t>2</w:t>
      </w:r>
      <w:r w:rsidRPr="006D1F76">
        <w:t>=0.9645</w:t>
      </w:r>
      <w:r>
        <w:t xml:space="preserve"> (</w:t>
      </w:r>
      <w:r w:rsidRPr="007A0724">
        <w:rPr>
          <w:i/>
          <w:iCs/>
        </w:rPr>
        <w:t>NACβ1</w:t>
      </w:r>
      <w:r>
        <w:t xml:space="preserve">) or </w:t>
      </w:r>
      <w:r w:rsidRPr="006D1F76">
        <w:t>R</w:t>
      </w:r>
      <w:r w:rsidRPr="006D1F76">
        <w:rPr>
          <w:vertAlign w:val="superscript"/>
        </w:rPr>
        <w:t>2</w:t>
      </w:r>
      <w:r w:rsidRPr="006D1F76">
        <w:t>=0.6209</w:t>
      </w:r>
      <w:r>
        <w:t xml:space="preserve"> (</w:t>
      </w:r>
      <w:r w:rsidRPr="007A0724">
        <w:rPr>
          <w:i/>
          <w:iCs/>
        </w:rPr>
        <w:t>NACβ2</w:t>
      </w:r>
      <w:r>
        <w:t>), respectively.</w:t>
      </w:r>
    </w:p>
    <w:p w14:paraId="36AD7A6A" w14:textId="77777777" w:rsidR="007A0724" w:rsidRDefault="007A0724" w:rsidP="007A0724">
      <w:pPr>
        <w:pStyle w:val="MDPI32textnoindent"/>
        <w:rPr>
          <w:b/>
        </w:rPr>
      </w:pPr>
    </w:p>
    <w:p w14:paraId="383E1431" w14:textId="77777777" w:rsidR="007A0724" w:rsidRDefault="007A0724" w:rsidP="007A0724">
      <w:pPr>
        <w:pStyle w:val="MDPI32textnoindent"/>
        <w:rPr>
          <w:b/>
        </w:rPr>
      </w:pPr>
      <w:r>
        <w:rPr>
          <w:b/>
          <w:noProof/>
          <w:snapToGrid/>
        </w:rPr>
        <w:drawing>
          <wp:inline distT="0" distB="0" distL="0" distR="0" wp14:anchorId="4C5F4359" wp14:editId="7DA789DD">
            <wp:extent cx="5760720" cy="327723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S1_new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77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9973EB" w14:textId="77777777" w:rsidR="007A0724" w:rsidRDefault="007A0724" w:rsidP="007A0724">
      <w:pPr>
        <w:pStyle w:val="MDPI32textnoindent"/>
        <w:rPr>
          <w:b/>
        </w:rPr>
      </w:pPr>
    </w:p>
    <w:p w14:paraId="5A00C939" w14:textId="77777777" w:rsidR="007A0724" w:rsidRDefault="007A0724">
      <w:pPr>
        <w:rPr>
          <w:rFonts w:ascii="Palatino Linotype" w:eastAsia="Times New Roman" w:hAnsi="Palatino Linotype" w:cs="Times New Roman"/>
          <w:b/>
          <w:snapToGrid w:val="0"/>
          <w:color w:val="000000"/>
          <w:sz w:val="20"/>
          <w:lang w:val="en-US" w:eastAsia="de-DE" w:bidi="en-US"/>
        </w:rPr>
      </w:pPr>
      <w:r>
        <w:rPr>
          <w:b/>
        </w:rPr>
        <w:br w:type="page"/>
      </w:r>
    </w:p>
    <w:p w14:paraId="6B347B27" w14:textId="77777777" w:rsidR="007A0724" w:rsidRDefault="007A0724" w:rsidP="007A0724">
      <w:pPr>
        <w:pStyle w:val="MDPI32textnoindent"/>
      </w:pPr>
      <w:r w:rsidRPr="006D1F76">
        <w:rPr>
          <w:b/>
        </w:rPr>
        <w:lastRenderedPageBreak/>
        <w:t xml:space="preserve">Figure S2 – Flower and silique phenotype of the </w:t>
      </w:r>
      <w:r w:rsidRPr="006D1F76">
        <w:rPr>
          <w:b/>
          <w:i/>
        </w:rPr>
        <w:t xml:space="preserve">nacβ1nacβ2 </w:t>
      </w:r>
      <w:r w:rsidRPr="006D1F76">
        <w:rPr>
          <w:b/>
        </w:rPr>
        <w:t xml:space="preserve">plants. </w:t>
      </w:r>
      <w:r w:rsidRPr="006D1F76">
        <w:t xml:space="preserve">A – Column chart showing </w:t>
      </w:r>
      <w:r>
        <w:t xml:space="preserve">the distribution of various </w:t>
      </w:r>
      <w:r w:rsidRPr="006D1F76">
        <w:t xml:space="preserve">phenotype categories of </w:t>
      </w:r>
      <w:r w:rsidRPr="006D1F76">
        <w:rPr>
          <w:i/>
        </w:rPr>
        <w:t>nacβ1nacβ2</w:t>
      </w:r>
      <w:r w:rsidRPr="006D1F76">
        <w:t xml:space="preserve"> flowers. Wild type flowers are highlighted in black. A total of 202 flowers was observed. C stands for petals, K for sepals, and A for anthers. The number of gynoecia was the same as in wt flowers. B – Box-and-whisker plot showing the median and quartiles revealing the silique length of the </w:t>
      </w:r>
      <w:r w:rsidRPr="006D1F76">
        <w:rPr>
          <w:i/>
        </w:rPr>
        <w:t>nacβ1nacβ2</w:t>
      </w:r>
      <w:r w:rsidRPr="006D1F76">
        <w:t xml:space="preserve">, and Col-0 wt. </w:t>
      </w:r>
      <w:r>
        <w:t>Both datasets were statistically compared by Student’s t-test, p-value of which is given.</w:t>
      </w:r>
      <w:r w:rsidRPr="006D1F76">
        <w:t xml:space="preserve"> C – Box-and-whisker plot showing the median and quartiles revealing the number of seeds per silique.</w:t>
      </w:r>
      <w:r w:rsidRPr="00775BA2">
        <w:t xml:space="preserve"> </w:t>
      </w:r>
      <w:r>
        <w:t>Both datasets were statistically compared by Student’s t-test, p-value of which is given.</w:t>
      </w:r>
      <w:r w:rsidRPr="006D1F76">
        <w:t xml:space="preserve"> D – Column chart showing the proportion of viable green seeds in </w:t>
      </w:r>
      <w:r w:rsidRPr="006D1F76">
        <w:rPr>
          <w:i/>
        </w:rPr>
        <w:t xml:space="preserve">nacβ1nacβ2 </w:t>
      </w:r>
      <w:r w:rsidRPr="006D1F76">
        <w:t>and Col-0 wt.</w:t>
      </w:r>
      <w:r>
        <w:t xml:space="preserve"> Both datasets were statistically compared by Student’s t-test, p-value of which is given.</w:t>
      </w:r>
    </w:p>
    <w:p w14:paraId="57657323" w14:textId="77777777" w:rsidR="007A0724" w:rsidRPr="006D1F76" w:rsidRDefault="007A0724" w:rsidP="007A0724">
      <w:pPr>
        <w:pStyle w:val="MDPI32textnoindent"/>
      </w:pPr>
    </w:p>
    <w:p w14:paraId="69FEFC2D" w14:textId="77777777" w:rsidR="007A0724" w:rsidRDefault="007A0724" w:rsidP="007A0724">
      <w:pPr>
        <w:pStyle w:val="MDPI32textnoindent"/>
        <w:rPr>
          <w:b/>
          <w:bCs/>
        </w:rPr>
      </w:pPr>
      <w:r>
        <w:rPr>
          <w:b/>
          <w:bCs/>
          <w:noProof/>
          <w:snapToGrid/>
        </w:rPr>
        <w:drawing>
          <wp:inline distT="0" distB="0" distL="0" distR="0" wp14:anchorId="1F60F001" wp14:editId="64E40EA2">
            <wp:extent cx="5760720" cy="4084955"/>
            <wp:effectExtent l="0" t="0" r="0" b="0"/>
            <wp:docPr id="2" name="Obrázek 2" descr="Obsah obrázku snímek obrazovky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S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8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1D2ADA" w14:textId="77777777" w:rsidR="007A0724" w:rsidRDefault="007A0724" w:rsidP="007A0724">
      <w:pPr>
        <w:pStyle w:val="MDPI32textnoindent"/>
        <w:rPr>
          <w:b/>
          <w:bCs/>
        </w:rPr>
      </w:pPr>
    </w:p>
    <w:p w14:paraId="5801EB99" w14:textId="77777777" w:rsidR="007A0724" w:rsidRDefault="007A0724" w:rsidP="007A0724">
      <w:pPr>
        <w:pStyle w:val="MDPI32textnoindent"/>
        <w:rPr>
          <w:b/>
          <w:bCs/>
        </w:rPr>
      </w:pPr>
    </w:p>
    <w:p w14:paraId="5CB836E7" w14:textId="77777777" w:rsidR="007A0724" w:rsidRDefault="007A0724">
      <w:pPr>
        <w:rPr>
          <w:rFonts w:ascii="Palatino Linotype" w:eastAsia="Times New Roman" w:hAnsi="Palatino Linotype" w:cs="Times New Roman"/>
          <w:b/>
          <w:bCs/>
          <w:snapToGrid w:val="0"/>
          <w:color w:val="000000"/>
          <w:sz w:val="20"/>
          <w:lang w:val="en-US" w:eastAsia="de-DE" w:bidi="en-US"/>
        </w:rPr>
      </w:pPr>
      <w:r>
        <w:rPr>
          <w:b/>
          <w:bCs/>
        </w:rPr>
        <w:br w:type="page"/>
      </w:r>
    </w:p>
    <w:p w14:paraId="221F3275" w14:textId="77777777" w:rsidR="007A0724" w:rsidRPr="006D1F76" w:rsidRDefault="007A0724" w:rsidP="007A0724">
      <w:pPr>
        <w:pStyle w:val="MDPI32textnoindent"/>
      </w:pPr>
      <w:r w:rsidRPr="006D1F76">
        <w:rPr>
          <w:b/>
          <w:bCs/>
        </w:rPr>
        <w:lastRenderedPageBreak/>
        <w:t>Figure S3 –</w:t>
      </w:r>
      <w:r w:rsidRPr="006D1F76">
        <w:t xml:space="preserve"> </w:t>
      </w:r>
      <w:r w:rsidRPr="006D1F76">
        <w:rPr>
          <w:b/>
          <w:bCs/>
        </w:rPr>
        <w:t>Validation of RNAseq data with qRT-PCR</w:t>
      </w:r>
      <w:r w:rsidRPr="006D1F76">
        <w:t>. Linear regression of log</w:t>
      </w:r>
      <w:r w:rsidRPr="006D1F76">
        <w:rPr>
          <w:vertAlign w:val="subscript"/>
        </w:rPr>
        <w:t>2</w:t>
      </w:r>
      <w:r w:rsidRPr="006D1F76">
        <w:t xml:space="preserve">FPKM values obtained from RNA-seq data and cT values from RT-qPCR for each genotype for twelve DE genes in </w:t>
      </w:r>
      <w:r w:rsidRPr="006D1F76">
        <w:rPr>
          <w:i/>
        </w:rPr>
        <w:t>nacβ1nacβ2 (</w:t>
      </w:r>
      <w:r w:rsidRPr="006D1F76">
        <w:t>At1g17880, At1g73230, At2g20142, At5g64120, At2g43510, At3g12580, At5g52390, At3g12390, At3g49470, At5g13850, At4g10480, At1g33040) with correlation coefficient R</w:t>
      </w:r>
      <w:r w:rsidRPr="006D1F76">
        <w:rPr>
          <w:vertAlign w:val="superscript"/>
        </w:rPr>
        <w:t xml:space="preserve">2 </w:t>
      </w:r>
      <w:r w:rsidRPr="006D1F76">
        <w:t>= 0.7842.</w:t>
      </w:r>
    </w:p>
    <w:p w14:paraId="21DF739E" w14:textId="77777777" w:rsidR="007A0724" w:rsidRDefault="007A0724">
      <w:pPr>
        <w:rPr>
          <w:b/>
        </w:rPr>
      </w:pPr>
    </w:p>
    <w:p w14:paraId="14634852" w14:textId="77777777" w:rsidR="007A0724" w:rsidRDefault="007A0724">
      <w:pPr>
        <w:rPr>
          <w:rFonts w:ascii="Palatino Linotype" w:eastAsia="Times New Roman" w:hAnsi="Palatino Linotype" w:cs="Times New Roman"/>
          <w:b/>
          <w:snapToGrid w:val="0"/>
          <w:color w:val="000000"/>
          <w:sz w:val="20"/>
          <w:lang w:val="en-US" w:eastAsia="de-DE" w:bidi="en-US"/>
        </w:rPr>
      </w:pPr>
      <w:r>
        <w:rPr>
          <w:b/>
          <w:noProof/>
        </w:rPr>
        <w:drawing>
          <wp:inline distT="0" distB="0" distL="0" distR="0" wp14:anchorId="1C124681" wp14:editId="04277AB0">
            <wp:extent cx="4050792" cy="2974848"/>
            <wp:effectExtent l="0" t="0" r="6985" b="0"/>
            <wp:docPr id="3" name="Obrázek 3" descr="Obsah obrázku text, mapa, obloh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S3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0792" cy="2974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br w:type="page"/>
      </w:r>
    </w:p>
    <w:p w14:paraId="3FDA360D" w14:textId="77777777" w:rsidR="007A0724" w:rsidRPr="00744116" w:rsidRDefault="007A0724" w:rsidP="007A0724">
      <w:pPr>
        <w:pStyle w:val="MDPI32textnoindent"/>
      </w:pPr>
      <w:r w:rsidRPr="006D1F76">
        <w:rPr>
          <w:b/>
        </w:rPr>
        <w:lastRenderedPageBreak/>
        <w:t xml:space="preserve">Figure S4 – Germination of </w:t>
      </w:r>
      <w:r w:rsidRPr="006D1F76">
        <w:rPr>
          <w:b/>
          <w:i/>
        </w:rPr>
        <w:t xml:space="preserve">nacβ1nacβ2 </w:t>
      </w:r>
      <w:r w:rsidRPr="006D1F76">
        <w:rPr>
          <w:b/>
        </w:rPr>
        <w:t xml:space="preserve">under salt and osmotic stress. </w:t>
      </w:r>
      <w:r w:rsidRPr="006D1F76">
        <w:t>A –</w:t>
      </w:r>
      <w:r w:rsidRPr="006D1F76">
        <w:rPr>
          <w:b/>
        </w:rPr>
        <w:t xml:space="preserve"> </w:t>
      </w:r>
      <w:r w:rsidRPr="006D1F76">
        <w:t xml:space="preserve">Germination rate of Col-0 wt compared to </w:t>
      </w:r>
      <w:r w:rsidRPr="006D1F76">
        <w:rPr>
          <w:i/>
        </w:rPr>
        <w:t>nacβ1nacβ2</w:t>
      </w:r>
      <w:r w:rsidRPr="006D1F76">
        <w:t xml:space="preserve"> under salt stress caused by 50 mM, 100mM, 125 mM, and 150 mM NaCl. Error bars represent ±5%. The calculations of germinated seeds were performed 4, 6, 8, 11, and 13 days after seed sowing. B – Germination rate of Col-0 wt compared to </w:t>
      </w:r>
      <w:r w:rsidRPr="006D1F76">
        <w:rPr>
          <w:i/>
        </w:rPr>
        <w:t>nacβ1nacβ2</w:t>
      </w:r>
      <w:r w:rsidRPr="006D1F76">
        <w:t xml:space="preserve"> under osmotic stress caused by 250 mM, 300mM, and 350 mM mannitol. Error bars represent ±5%. The calculations of germinated seeds were performed 4, 6, 8, 11, and 13 days after seed sowing. C – A representative plate of seedlings 13 days after sowing on 125 mM NaCl. D – A representative plate of seedlings 13 days after sowing on 150 mM NaCl. E - A representative plate of seedlings 13 days after sowing under control conditions without added stress agent.</w:t>
      </w:r>
    </w:p>
    <w:p w14:paraId="31585668" w14:textId="77777777" w:rsidR="00747475" w:rsidRDefault="00747475"/>
    <w:p w14:paraId="24F7AAC6" w14:textId="77777777" w:rsidR="007A0724" w:rsidRDefault="007A0724">
      <w:r>
        <w:rPr>
          <w:noProof/>
        </w:rPr>
        <w:drawing>
          <wp:inline distT="0" distB="0" distL="0" distR="0" wp14:anchorId="799A71C6" wp14:editId="350BAFD8">
            <wp:extent cx="5760720" cy="5762625"/>
            <wp:effectExtent l="0" t="0" r="0" b="9525"/>
            <wp:docPr id="4" name="Obrázek 4" descr="Obsah obrázku psací potřeby, papírnictví, tužk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gS4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6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A072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0724"/>
    <w:rsid w:val="001F05DA"/>
    <w:rsid w:val="00747475"/>
    <w:rsid w:val="007A0724"/>
    <w:rsid w:val="009B0F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1D430146"/>
  <w15:chartTrackingRefBased/>
  <w15:docId w15:val="{98763E28-22C9-40EA-A885-CA96B489C6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DPI32textnoindent">
    <w:name w:val="MDPI_3.2_text_no_indent"/>
    <w:basedOn w:val="Normln"/>
    <w:qFormat/>
    <w:rsid w:val="007A0724"/>
    <w:pPr>
      <w:adjustRightInd w:val="0"/>
      <w:snapToGrid w:val="0"/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22heading2">
    <w:name w:val="MDPI_2.2_heading2"/>
    <w:basedOn w:val="Normln"/>
    <w:qFormat/>
    <w:rsid w:val="007A0724"/>
    <w:pPr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outlineLvl w:val="1"/>
    </w:pPr>
    <w:rPr>
      <w:rFonts w:ascii="Palatino Linotype" w:eastAsia="Times New Roman" w:hAnsi="Palatino Linotype" w:cs="Times New Roman"/>
      <w:i/>
      <w:noProof/>
      <w:snapToGrid w:val="0"/>
      <w:color w:val="000000"/>
      <w:sz w:val="20"/>
      <w:lang w:val="en-US" w:eastAsia="de-DE" w:bidi="en-US"/>
    </w:rPr>
  </w:style>
  <w:style w:type="table" w:styleId="Mkatabulky">
    <w:name w:val="Table Grid"/>
    <w:basedOn w:val="Normlntabulka"/>
    <w:uiPriority w:val="39"/>
    <w:rsid w:val="007A0724"/>
    <w:pPr>
      <w:spacing w:after="0" w:line="240" w:lineRule="auto"/>
    </w:pPr>
    <w:rPr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jpeg"/><Relationship Id="rId4" Type="http://schemas.openxmlformats.org/officeDocument/2006/relationships/styles" Target="styles.xml"/><Relationship Id="rId9" Type="http://schemas.openxmlformats.org/officeDocument/2006/relationships/image" Target="media/image3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2AF72602B15F4458B03CB9C86A11CA1" ma:contentTypeVersion="10" ma:contentTypeDescription="Vytvoří nový dokument" ma:contentTypeScope="" ma:versionID="1f2c96d43b481cf8c0bfbe09b113ac73">
  <xsd:schema xmlns:xsd="http://www.w3.org/2001/XMLSchema" xmlns:xs="http://www.w3.org/2001/XMLSchema" xmlns:p="http://schemas.microsoft.com/office/2006/metadata/properties" xmlns:ns3="91c47e78-31bc-47f5-a251-5165c0d2ead8" targetNamespace="http://schemas.microsoft.com/office/2006/metadata/properties" ma:root="true" ma:fieldsID="d84c6e605ab3b46070e691b36c2c6b47" ns3:_="">
    <xsd:import namespace="91c47e78-31bc-47f5-a251-5165c0d2ead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c47e78-31bc-47f5-a251-5165c0d2ead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15B1C18-785C-43E2-897C-C983E4A7912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c47e78-31bc-47f5-a251-5165c0d2ead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2E5BE20-C2F8-4EC6-A304-57660BB6CE9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675A471-04BC-4C6D-8B6C-6A2810F2C5B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8</Pages>
  <Words>1300</Words>
  <Characters>7670</Characters>
  <Application>Microsoft Office Word</Application>
  <DocSecurity>0</DocSecurity>
  <Lines>63</Lines>
  <Paragraphs>17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Fíla</dc:creator>
  <cp:keywords/>
  <dc:description/>
  <cp:lastModifiedBy>Jan Fíla</cp:lastModifiedBy>
  <cp:revision>2</cp:revision>
  <dcterms:created xsi:type="dcterms:W3CDTF">2020-03-16T20:27:00Z</dcterms:created>
  <dcterms:modified xsi:type="dcterms:W3CDTF">2020-03-16T20:37:00Z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0x01010042AF72602B15F4458B03CB9C86A11CA1</vt:lpwstr>
  </property>
</Properties>
</file>