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88DB72" w14:textId="494EC67C" w:rsidR="00C22C0E" w:rsidRDefault="00C22C0E" w:rsidP="00C22C0E">
      <w:pPr>
        <w:pStyle w:val="Body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b/>
          <w:bCs/>
          <w:sz w:val="24"/>
          <w:szCs w:val="24"/>
          <w:lang w:val="en-US"/>
        </w:rPr>
        <w:t xml:space="preserve">Supplementary </w:t>
      </w:r>
      <w:r w:rsidR="000B05C5">
        <w:rPr>
          <w:rFonts w:ascii="Times New Roman" w:hAnsi="Times New Roman"/>
          <w:b/>
          <w:bCs/>
          <w:sz w:val="24"/>
          <w:szCs w:val="24"/>
          <w:lang w:val="en-US"/>
        </w:rPr>
        <w:t>Procedure</w:t>
      </w:r>
      <w:r w:rsidR="00504743">
        <w:rPr>
          <w:rFonts w:ascii="Times New Roman" w:hAnsi="Times New Roman"/>
          <w:b/>
          <w:bCs/>
          <w:sz w:val="24"/>
          <w:szCs w:val="24"/>
          <w:lang w:val="en-US"/>
        </w:rPr>
        <w:t xml:space="preserve"> S1</w:t>
      </w:r>
    </w:p>
    <w:p w14:paraId="6057726A" w14:textId="77777777" w:rsidR="00C22C0E" w:rsidRDefault="00C22C0E" w:rsidP="00C22C0E">
      <w:pPr>
        <w:pStyle w:val="Body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  <w:lang w:val="en-US"/>
        </w:rPr>
        <w:t>Nanoparticle tracking analysis</w:t>
      </w:r>
    </w:p>
    <w:p w14:paraId="15CD29B9" w14:textId="77777777" w:rsidR="00C22C0E" w:rsidRDefault="00C22C0E" w:rsidP="00C22C0E">
      <w:pPr>
        <w:pStyle w:val="Body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 xml:space="preserve">An NS300 (Malvern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Panaltical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>, Malvern, UK) equipped with an EMCCD camera (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Andor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Technology, Tokyo, Japan) and a 405-nm laser was used. During measurements, temperature was kept at 22°C. The viscosity of water at 22°C (0.952-0.953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cP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>) was used, as samples were diluted several folds in PBS buffer. NTA 3.2 software was used for data analysis. Before the measurement, samples were 15-30-fold diluted with PBS buffer. Six videos of 60 seconds were captured per measurement at camera level 14. The detection threshold was set at pixel value 5-13.</w:t>
      </w:r>
    </w:p>
    <w:p w14:paraId="7AC6502E" w14:textId="77777777" w:rsidR="00C22C0E" w:rsidRDefault="00C22C0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200" w:line="276" w:lineRule="auto"/>
        <w:rPr>
          <w:rFonts w:eastAsia="Calibri" w:cs="Calibri"/>
          <w:b/>
          <w:bCs/>
          <w:color w:val="000000"/>
          <w:u w:color="000000"/>
          <w:lang w:eastAsia="en-GB"/>
        </w:rPr>
      </w:pPr>
      <w:r>
        <w:rPr>
          <w:b/>
          <w:bCs/>
        </w:rPr>
        <w:br w:type="page"/>
      </w:r>
    </w:p>
    <w:p w14:paraId="64E99C9C" w14:textId="5D8C7C10" w:rsidR="00C22C0E" w:rsidRDefault="00C22C0E" w:rsidP="00C22C0E">
      <w:pPr>
        <w:pStyle w:val="Body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  <w:lang w:val="en-US"/>
        </w:rPr>
        <w:lastRenderedPageBreak/>
        <w:t xml:space="preserve">Supplementary Table </w:t>
      </w:r>
      <w:r w:rsidR="000B05C5">
        <w:rPr>
          <w:rFonts w:ascii="Times New Roman" w:hAnsi="Times New Roman"/>
          <w:b/>
          <w:bCs/>
          <w:sz w:val="24"/>
          <w:szCs w:val="24"/>
          <w:lang w:val="en-US"/>
        </w:rPr>
        <w:t>S1</w:t>
      </w:r>
    </w:p>
    <w:tbl>
      <w:tblPr>
        <w:tblW w:w="9486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DD4E9"/>
        <w:tblLayout w:type="fixed"/>
        <w:tblLook w:val="04A0" w:firstRow="1" w:lastRow="0" w:firstColumn="1" w:lastColumn="0" w:noHBand="0" w:noVBand="1"/>
      </w:tblPr>
      <w:tblGrid>
        <w:gridCol w:w="2762"/>
        <w:gridCol w:w="2192"/>
        <w:gridCol w:w="2266"/>
        <w:gridCol w:w="2266"/>
      </w:tblGrid>
      <w:tr w:rsidR="00C22C0E" w14:paraId="1FC62EF3" w14:textId="77777777" w:rsidTr="00C22C0E">
        <w:trPr>
          <w:trHeight w:val="3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2A07B4" w14:textId="77777777" w:rsidR="00C22C0E" w:rsidRPr="00B56248" w:rsidRDefault="00C22C0E" w:rsidP="00AC28CC">
            <w:pPr>
              <w:pStyle w:val="Body"/>
            </w:pPr>
            <w:r w:rsidRPr="00B56248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Name 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7667F8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Clone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7F7E5D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Dilution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1FBDEF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Manufacturer</w:t>
            </w:r>
          </w:p>
        </w:tc>
      </w:tr>
      <w:tr w:rsidR="00C22C0E" w14:paraId="0C058409" w14:textId="77777777" w:rsidTr="00C22C0E">
        <w:trPr>
          <w:trHeight w:val="9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03F1CD" w14:textId="77777777" w:rsidR="00C22C0E" w:rsidRPr="00B56248" w:rsidRDefault="00C22C0E" w:rsidP="00AC28CC">
            <w:pPr>
              <w:pStyle w:val="Body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Alexa Fluor 647 mouse</w:t>
            </w:r>
          </w:p>
          <w:p w14:paraId="5F6010ED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anti-human CD9 antibody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762A92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MEM-61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4BC7AD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1:200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38313B" w14:textId="77777777" w:rsidR="00C22C0E" w:rsidRPr="00B56248" w:rsidRDefault="00C22C0E" w:rsidP="00AC28CC">
            <w:pPr>
              <w:pStyle w:val="Body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EXBIO Antibodies, </w:t>
            </w: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Vestec</w:t>
            </w:r>
            <w:proofErr w:type="spellEnd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, Czech</w:t>
            </w:r>
          </w:p>
          <w:p w14:paraId="43C5882A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Republic</w:t>
            </w:r>
          </w:p>
        </w:tc>
      </w:tr>
      <w:tr w:rsidR="00C22C0E" w14:paraId="6BA2C54B" w14:textId="77777777" w:rsidTr="00C22C0E">
        <w:trPr>
          <w:trHeight w:val="6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A6F967" w14:textId="77777777" w:rsidR="00C22C0E" w:rsidRPr="00B56248" w:rsidRDefault="00C22C0E" w:rsidP="00AC28CC">
            <w:pPr>
              <w:pStyle w:val="Body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Alexa Fluor 647 mouse</w:t>
            </w:r>
          </w:p>
          <w:p w14:paraId="02BABDBD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anti-human CD63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0D9C8E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H5C6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3BC377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1:200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C6687A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BD </w:t>
            </w: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Pharmingen</w:t>
            </w:r>
            <w:proofErr w:type="spellEnd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, San Jose, CA, USA</w:t>
            </w:r>
          </w:p>
        </w:tc>
      </w:tr>
      <w:tr w:rsidR="00C22C0E" w14:paraId="61AA98FE" w14:textId="77777777" w:rsidTr="00C22C0E">
        <w:trPr>
          <w:trHeight w:val="6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77B831" w14:textId="77777777" w:rsidR="00C22C0E" w:rsidRPr="00B56248" w:rsidRDefault="00C22C0E" w:rsidP="00AC28CC">
            <w:pPr>
              <w:pStyle w:val="Body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Alexa Fluor 647 mouse</w:t>
            </w:r>
          </w:p>
          <w:p w14:paraId="31E22A03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IgG1κ isotype control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727261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MOPC-21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9AE368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1:200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12E367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BD </w:t>
            </w: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Pharmingen</w:t>
            </w:r>
            <w:proofErr w:type="spellEnd"/>
          </w:p>
        </w:tc>
      </w:tr>
      <w:tr w:rsidR="00C22C0E" w14:paraId="6B2B7734" w14:textId="77777777" w:rsidTr="00C22C0E">
        <w:trPr>
          <w:trHeight w:val="6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BC396A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Mouse anti-human CD9 PE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F37BFD" w14:textId="77777777" w:rsidR="00C22C0E" w:rsidRDefault="00C22C0E" w:rsidP="00AC28CC"/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2E862A3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1:2.5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1CFD3A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BD </w:t>
            </w: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Pharmingen</w:t>
            </w:r>
            <w:proofErr w:type="spellEnd"/>
          </w:p>
        </w:tc>
      </w:tr>
      <w:tr w:rsidR="00C22C0E" w14:paraId="5585E9E4" w14:textId="77777777" w:rsidTr="00C22C0E">
        <w:trPr>
          <w:trHeight w:val="6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88FD9F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Mouse IgG1 isotype control PE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76C728" w14:textId="77777777" w:rsidR="00C22C0E" w:rsidRDefault="00C22C0E" w:rsidP="00AC28CC"/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C30FE3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1:20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4566CE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BD </w:t>
            </w: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Pharmingen</w:t>
            </w:r>
            <w:proofErr w:type="spellEnd"/>
          </w:p>
        </w:tc>
      </w:tr>
      <w:tr w:rsidR="00C22C0E" w14:paraId="434CA79B" w14:textId="77777777" w:rsidTr="00C22C0E">
        <w:trPr>
          <w:trHeight w:val="6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6AAFBD" w14:textId="77777777" w:rsidR="00C22C0E" w:rsidRPr="00B56248" w:rsidRDefault="00C22C0E" w:rsidP="00AC28CC">
            <w:pPr>
              <w:pStyle w:val="Body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Mouse anti-human</w:t>
            </w:r>
          </w:p>
          <w:p w14:paraId="50E4AC51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CD63 antibody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B38447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MEM-259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E6845D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1:10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70C545" w14:textId="77777777" w:rsidR="00C22C0E" w:rsidRPr="00B56248" w:rsidRDefault="00C22C0E" w:rsidP="00AC28CC">
            <w:pPr>
              <w:pStyle w:val="Body"/>
              <w:spacing w:after="0" w:line="240" w:lineRule="auto"/>
            </w:pP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Abcam</w:t>
            </w:r>
            <w:proofErr w:type="spellEnd"/>
          </w:p>
        </w:tc>
      </w:tr>
      <w:tr w:rsidR="00C22C0E" w14:paraId="55D8F068" w14:textId="77777777" w:rsidTr="00C22C0E">
        <w:trPr>
          <w:trHeight w:val="3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C6C058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Mouse anti-human CD9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CDE468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M-L13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C04E1C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1:50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816A54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BD </w:t>
            </w: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Pharmingen</w:t>
            </w:r>
            <w:proofErr w:type="spellEnd"/>
          </w:p>
        </w:tc>
      </w:tr>
      <w:tr w:rsidR="00C22C0E" w14:paraId="43646F52" w14:textId="77777777" w:rsidTr="00C22C0E">
        <w:trPr>
          <w:trHeight w:val="6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8BA217" w14:textId="77777777" w:rsidR="00C22C0E" w:rsidRPr="00B56248" w:rsidRDefault="00C22C0E" w:rsidP="00AC28CC">
            <w:pPr>
              <w:pStyle w:val="Body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Mouse IgG1 isotype</w:t>
            </w:r>
          </w:p>
          <w:p w14:paraId="4DD6442A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Control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01EA2F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X40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81C844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1:50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ECC594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BD Biosciences, San Jose, CA, USA</w:t>
            </w:r>
          </w:p>
        </w:tc>
      </w:tr>
      <w:tr w:rsidR="00C22C0E" w14:paraId="6619EAAE" w14:textId="77777777" w:rsidTr="00C22C0E">
        <w:trPr>
          <w:trHeight w:val="9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0F6B3C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Goat anti-mouse IgG 6 nm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91E3D2" w14:textId="77777777" w:rsidR="00C22C0E" w:rsidRDefault="00C22C0E" w:rsidP="00AC28CC"/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DDAF0E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1:50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9175AA" w14:textId="77777777" w:rsidR="00C22C0E" w:rsidRPr="00B56248" w:rsidRDefault="00C22C0E" w:rsidP="00AC28CC">
            <w:pPr>
              <w:pStyle w:val="Body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Aurion</w:t>
            </w:r>
            <w:proofErr w:type="spellEnd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Wageningen</w:t>
            </w:r>
            <w:proofErr w:type="spellEnd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, The</w:t>
            </w:r>
          </w:p>
          <w:p w14:paraId="3E5BE2D5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Netherlands</w:t>
            </w:r>
          </w:p>
        </w:tc>
      </w:tr>
      <w:tr w:rsidR="00C22C0E" w14:paraId="51362C58" w14:textId="77777777" w:rsidTr="00C22C0E">
        <w:trPr>
          <w:trHeight w:val="900"/>
        </w:trPr>
        <w:tc>
          <w:tcPr>
            <w:tcW w:w="2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4D053B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Mouse anti-FITC 10 nm</w:t>
            </w:r>
          </w:p>
        </w:tc>
        <w:tc>
          <w:tcPr>
            <w:tcW w:w="2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CE711E" w14:textId="77777777" w:rsidR="00C22C0E" w:rsidRDefault="00C22C0E" w:rsidP="00AC28CC"/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D646B8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1:20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63CAE0" w14:textId="77777777" w:rsidR="00C22C0E" w:rsidRPr="00B56248" w:rsidRDefault="00C22C0E" w:rsidP="00AC28CC">
            <w:pPr>
              <w:pStyle w:val="Body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Aurion</w:t>
            </w:r>
            <w:proofErr w:type="spellEnd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Wageningen</w:t>
            </w:r>
            <w:proofErr w:type="spellEnd"/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, The</w:t>
            </w:r>
          </w:p>
          <w:p w14:paraId="186AB889" w14:textId="77777777" w:rsidR="00C22C0E" w:rsidRPr="00B56248" w:rsidRDefault="00C22C0E" w:rsidP="00AC28CC">
            <w:pPr>
              <w:pStyle w:val="Body"/>
              <w:spacing w:after="0" w:line="240" w:lineRule="auto"/>
            </w:pPr>
            <w:r w:rsidRPr="00B56248">
              <w:rPr>
                <w:rFonts w:ascii="Times New Roman" w:hAnsi="Times New Roman"/>
                <w:sz w:val="24"/>
                <w:szCs w:val="24"/>
                <w:lang w:val="en-US"/>
              </w:rPr>
              <w:t>Netherlands</w:t>
            </w:r>
          </w:p>
        </w:tc>
      </w:tr>
    </w:tbl>
    <w:p w14:paraId="26501E3C" w14:textId="77777777" w:rsidR="00C22C0E" w:rsidRDefault="00C22C0E" w:rsidP="00C22C0E">
      <w:pPr>
        <w:pStyle w:val="Body"/>
        <w:widowControl w:val="0"/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AA4BDB5" w14:textId="77777777" w:rsidR="00C22C0E" w:rsidRDefault="00C22C0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200" w:line="276" w:lineRule="auto"/>
        <w:rPr>
          <w:rFonts w:eastAsia="Times New Roman"/>
          <w:b/>
          <w:color w:val="000000"/>
          <w:u w:color="000000"/>
          <w:lang w:val="en-GB" w:eastAsia="en-GB"/>
        </w:rPr>
      </w:pPr>
      <w:r>
        <w:rPr>
          <w:rFonts w:eastAsia="Times New Roman"/>
          <w:b/>
        </w:rPr>
        <w:br w:type="page"/>
      </w:r>
    </w:p>
    <w:p w14:paraId="4D0EC7C2" w14:textId="77777777" w:rsidR="00C22C0E" w:rsidRPr="00C22C0E" w:rsidRDefault="00C22C0E" w:rsidP="00C22C0E">
      <w:pPr>
        <w:pStyle w:val="Body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22C0E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Supplementary Figures</w:t>
      </w:r>
    </w:p>
    <w:p w14:paraId="4B1232BF" w14:textId="77777777" w:rsidR="00C22C0E" w:rsidRDefault="00C22C0E" w:rsidP="00C22C0E">
      <w:pPr>
        <w:pStyle w:val="Body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eastAsia="zh-CN"/>
        </w:rPr>
        <w:drawing>
          <wp:inline distT="0" distB="0" distL="0" distR="0" wp14:anchorId="604481BD" wp14:editId="3F3224B3">
            <wp:extent cx="3498215" cy="2743200"/>
            <wp:effectExtent l="0" t="0" r="6985" b="0"/>
            <wp:docPr id="3" name="Picture 3" descr="E:\US project\UMCU\Draft\Figures\Figure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fficeArt object" descr="E:\US project\UMCU\Draft\Figures\Figure S1.ti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21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197FD" w14:textId="24860B96" w:rsidR="00C22C0E" w:rsidRDefault="00C22C0E" w:rsidP="00C22C0E">
      <w:pPr>
        <w:pStyle w:val="Body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b/>
          <w:bCs/>
          <w:sz w:val="24"/>
          <w:szCs w:val="24"/>
          <w:lang w:val="en-US"/>
        </w:rPr>
        <w:t xml:space="preserve">Figure S1. Uptake of DQ-Red BSA by HUVECs at different US acoustic pressures. </w:t>
      </w:r>
      <w:r>
        <w:rPr>
          <w:rFonts w:ascii="Times New Roman" w:hAnsi="Times New Roman"/>
          <w:sz w:val="24"/>
          <w:szCs w:val="24"/>
          <w:lang w:val="en-US"/>
        </w:rPr>
        <w:t>HUVECs were co-administered with MB and DQ-Red BSA before application of US at 0.6, 0.7, and 0.8 MPa.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The presence of bright red spots in HUVECs after this treatment indicating the presence of DQ-Red BSA in the lysosomal compartment. DAPI (blue) was used to stain cell nuclei.</w:t>
      </w:r>
    </w:p>
    <w:p w14:paraId="09DC7990" w14:textId="77777777" w:rsidR="003858EB" w:rsidRDefault="003858EB" w:rsidP="003858EB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eastAsia="zh-CN"/>
        </w:rPr>
        <w:drawing>
          <wp:inline distT="0" distB="0" distL="0" distR="0" wp14:anchorId="585F3A21" wp14:editId="5845F3EE">
            <wp:extent cx="5614035" cy="1903095"/>
            <wp:effectExtent l="0" t="0" r="5715" b="1905"/>
            <wp:docPr id="5" name="Picture 5" descr="Figure 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fficeArt object" descr="Figure S3.t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03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041F5" w14:textId="56CB800C" w:rsidR="003858EB" w:rsidRDefault="003858EB" w:rsidP="003858EB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  <w:lang w:val="en-US"/>
        </w:rPr>
        <w:t>Figure S2. Characterization of the diameter size of EVs carrying CTG and BSA FITC using NTA.</w:t>
      </w:r>
      <w:r>
        <w:rPr>
          <w:rFonts w:ascii="Times New Roman" w:hAnsi="Times New Roman"/>
          <w:sz w:val="24"/>
          <w:szCs w:val="24"/>
          <w:lang w:val="en-US"/>
        </w:rPr>
        <w:t xml:space="preserve"> The diameter size of EVs carrying CTG is 104.9 +/-7.2 nm (</w:t>
      </w:r>
      <w:r w:rsidRPr="00713308">
        <w:rPr>
          <w:rFonts w:ascii="Times New Roman" w:hAnsi="Times New Roman"/>
          <w:b/>
          <w:bCs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  <w:lang w:val="en-US"/>
        </w:rPr>
        <w:t>) and EVs carrying BSA FITC is 116 +/- 21.7 nm (</w:t>
      </w:r>
      <w:r w:rsidRPr="00713308">
        <w:rPr>
          <w:rFonts w:ascii="Times New Roman" w:hAnsi="Times New Roman"/>
          <w:b/>
          <w:bCs/>
          <w:sz w:val="24"/>
          <w:szCs w:val="24"/>
          <w:lang w:val="en-US"/>
        </w:rPr>
        <w:t>B</w:t>
      </w:r>
      <w:r>
        <w:rPr>
          <w:rFonts w:ascii="Times New Roman" w:hAnsi="Times New Roman"/>
          <w:sz w:val="24"/>
          <w:szCs w:val="24"/>
          <w:lang w:val="en-US"/>
        </w:rPr>
        <w:t xml:space="preserve">). EVs larger than 500 nm were not observed in both samples. </w:t>
      </w:r>
    </w:p>
    <w:p w14:paraId="45773942" w14:textId="77777777" w:rsidR="003858EB" w:rsidRPr="00713308" w:rsidRDefault="003858EB" w:rsidP="00C22C0E">
      <w:pPr>
        <w:pStyle w:val="Body"/>
        <w:jc w:val="both"/>
        <w:rPr>
          <w:rFonts w:ascii="Times New Roman" w:hAnsi="Times New Roman"/>
          <w:sz w:val="24"/>
          <w:szCs w:val="24"/>
        </w:rPr>
      </w:pPr>
    </w:p>
    <w:p w14:paraId="66DC0745" w14:textId="5488F81C" w:rsidR="00A44EAB" w:rsidRPr="00713308" w:rsidRDefault="00A44EAB" w:rsidP="00C22C0E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eastAsia="zh-CN"/>
        </w:rPr>
        <w:lastRenderedPageBreak/>
        <w:drawing>
          <wp:inline distT="0" distB="0" distL="0" distR="0" wp14:anchorId="35FACFF4" wp14:editId="7AB38883">
            <wp:extent cx="5727700" cy="2897505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S2 rev v2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9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32104" w14:textId="6F0C8233" w:rsidR="00A44EAB" w:rsidRDefault="00A44EAB" w:rsidP="00C22C0E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3308">
        <w:rPr>
          <w:rFonts w:ascii="Times New Roman" w:eastAsia="Times New Roman" w:hAnsi="Times New Roman" w:cs="Times New Roman"/>
          <w:b/>
          <w:bCs/>
          <w:sz w:val="24"/>
          <w:szCs w:val="24"/>
        </w:rPr>
        <w:t>Figure S</w:t>
      </w:r>
      <w:r w:rsidR="003858EB"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Pr="00713308">
        <w:rPr>
          <w:rFonts w:ascii="Times New Roman" w:eastAsia="Times New Roman" w:hAnsi="Times New Roman" w:cs="Times New Roman"/>
          <w:b/>
          <w:bCs/>
          <w:sz w:val="24"/>
          <w:szCs w:val="24"/>
        </w:rPr>
        <w:t>. Uptake of EVs containing CTG by MDA-MB-231 cells.</w:t>
      </w:r>
      <w:r w:rsidRPr="00A44EAB">
        <w:t xml:space="preserve"> </w:t>
      </w:r>
      <w:r w:rsidRPr="00A44EAB">
        <w:rPr>
          <w:rFonts w:ascii="Times New Roman" w:eastAsia="Times New Roman" w:hAnsi="Times New Roman" w:cs="Times New Roman"/>
          <w:sz w:val="24"/>
          <w:szCs w:val="24"/>
        </w:rPr>
        <w:t xml:space="preserve">EVs containing CTG at a concentration of 50 % and 100 %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were co-cultured with MDA-MB-231 cells and imaged at </w:t>
      </w:r>
      <w:r w:rsidRPr="00A44EAB">
        <w:rPr>
          <w:rFonts w:ascii="Times New Roman" w:eastAsia="Times New Roman" w:hAnsi="Times New Roman" w:cs="Times New Roman"/>
          <w:sz w:val="24"/>
          <w:szCs w:val="24"/>
        </w:rPr>
        <w:t xml:space="preserve">0, 2, and 4 hours. The overlay of bright field and fluorescent images taken at 10x magnification are shown. Green fluorescent colour shown in the images indicates the presence of CTG in cells.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4DA08D24" w14:textId="77777777" w:rsidR="00C22C0E" w:rsidRDefault="00C22C0E" w:rsidP="00C22C0E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eastAsia="zh-CN"/>
        </w:rPr>
        <w:drawing>
          <wp:inline distT="0" distB="0" distL="0" distR="0" wp14:anchorId="01B6B63B" wp14:editId="5979A8AF">
            <wp:extent cx="3157855" cy="2509520"/>
            <wp:effectExtent l="0" t="0" r="4445" b="5080"/>
            <wp:docPr id="2" name="Picture 2" descr="Supplemtary Figur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fficeArt object" descr="Supplemtary Figure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3" t="9348" r="20445" b="127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855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7BD1" w14:textId="0F3DE88C" w:rsidR="00C22C0E" w:rsidRDefault="00C22C0E" w:rsidP="00C22C0E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  <w:lang w:val="en-US"/>
        </w:rPr>
        <w:t>Figure S</w:t>
      </w:r>
      <w:r w:rsidR="003858EB">
        <w:rPr>
          <w:rFonts w:ascii="Times New Roman" w:hAnsi="Times New Roman"/>
          <w:b/>
          <w:bCs/>
          <w:sz w:val="24"/>
          <w:szCs w:val="24"/>
          <w:lang w:val="en-US"/>
        </w:rPr>
        <w:t>4</w:t>
      </w:r>
      <w:r>
        <w:rPr>
          <w:rFonts w:ascii="Times New Roman" w:hAnsi="Times New Roman"/>
          <w:b/>
          <w:bCs/>
          <w:sz w:val="24"/>
          <w:szCs w:val="24"/>
          <w:lang w:val="en-US"/>
        </w:rPr>
        <w:t xml:space="preserve">. Gel electrophoresis of PCR products from MDA-MB-231 cells and EVs carrying </w:t>
      </w:r>
      <w:proofErr w:type="spellStart"/>
      <w:r>
        <w:rPr>
          <w:rFonts w:ascii="Times New Roman" w:hAnsi="Times New Roman"/>
          <w:b/>
          <w:bCs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b/>
          <w:bCs/>
          <w:sz w:val="24"/>
          <w:szCs w:val="24"/>
          <w:lang w:val="en-US"/>
        </w:rPr>
        <w:t>-recombinase.</w:t>
      </w:r>
      <w:r>
        <w:rPr>
          <w:rFonts w:ascii="Times New Roman" w:hAnsi="Times New Roman"/>
          <w:sz w:val="24"/>
          <w:szCs w:val="24"/>
          <w:lang w:val="en-US"/>
        </w:rPr>
        <w:t xml:space="preserve"> MDA-MB-231 cells carrying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were treated with USMB at 0.7 MPa. EVs released in the supernatant at 4 hours post treatment were harvested, RNA was extracted, and cDNA was synthesized. PCR was run using 1 µL of cDNA and the products were analyzed by gel electrophoresis. MDA-MB-231 containing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showed a band at 760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bp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which indicated the presence of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gene (1). MDA-MB-231 cells without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-recombinase were used as a negative control and there was no detectable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-recombinase band at 760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bp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(2). EVs extracted from the supernatant of MDA-MB-231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(4 hour-post USMB treatment) contained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and there was a clear band at 760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bp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(3). As a negative control, EVs from MDA-MB-231 cells were also measured and there was no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shown (4). Second RNA extraction and DNA synthesis of </w:t>
      </w:r>
      <w:r>
        <w:rPr>
          <w:rFonts w:ascii="Times New Roman" w:hAnsi="Times New Roman"/>
          <w:sz w:val="24"/>
          <w:szCs w:val="24"/>
          <w:lang w:val="en-US"/>
        </w:rPr>
        <w:lastRenderedPageBreak/>
        <w:t xml:space="preserve">MDA-MB-231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and MDA-MB-231 cells were performed. PCR measurements were done and results were similar as the first measurements. MDA-MB-231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showed a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cre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recombinase band at 760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bp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(5), whereas MDA-MB-231 did not show this band (6).</w:t>
      </w:r>
    </w:p>
    <w:p w14:paraId="54C1BD51" w14:textId="77777777" w:rsidR="00C22C0E" w:rsidRDefault="00C22C0E" w:rsidP="00C22C0E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2AF75BC" w14:textId="77CD6846" w:rsidR="00C22C0E" w:rsidRDefault="00C22C0E" w:rsidP="00C22C0E">
      <w:pPr>
        <w:pStyle w:val="Body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ectPr w:rsidR="00C22C0E">
      <w:footerReference w:type="default" r:id="rId10"/>
      <w:pgSz w:w="11900" w:h="16840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5B0DF7" w14:textId="77777777" w:rsidR="006A1C52" w:rsidRDefault="006A1C52">
      <w:r>
        <w:separator/>
      </w:r>
    </w:p>
  </w:endnote>
  <w:endnote w:type="continuationSeparator" w:id="0">
    <w:p w14:paraId="47F3D570" w14:textId="77777777" w:rsidR="006A1C52" w:rsidRDefault="006A1C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50E3EA" w14:textId="7454EFB9" w:rsidR="00FB5E27" w:rsidRDefault="00C22C0E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13308">
      <w:rPr>
        <w:noProof/>
      </w:rPr>
      <w:t>5</w:t>
    </w:r>
    <w:r>
      <w:rPr>
        <w:noProof/>
      </w:rPr>
      <w:fldChar w:fldCharType="end"/>
    </w:r>
  </w:p>
  <w:p w14:paraId="69447819" w14:textId="77777777" w:rsidR="00FB5E27" w:rsidRDefault="006A1C5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687A29" w14:textId="77777777" w:rsidR="006A1C52" w:rsidRDefault="006A1C52">
      <w:r>
        <w:separator/>
      </w:r>
    </w:p>
  </w:footnote>
  <w:footnote w:type="continuationSeparator" w:id="0">
    <w:p w14:paraId="585C61D4" w14:textId="77777777" w:rsidR="006A1C52" w:rsidRDefault="006A1C5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C0E"/>
    <w:rsid w:val="000B05C5"/>
    <w:rsid w:val="0030227E"/>
    <w:rsid w:val="003858EB"/>
    <w:rsid w:val="00504743"/>
    <w:rsid w:val="006A1C52"/>
    <w:rsid w:val="00713308"/>
    <w:rsid w:val="007757EA"/>
    <w:rsid w:val="00802694"/>
    <w:rsid w:val="00864599"/>
    <w:rsid w:val="00A44EAB"/>
    <w:rsid w:val="00B94B5A"/>
    <w:rsid w:val="00C22C0E"/>
    <w:rsid w:val="00C947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C07374"/>
  <w15:docId w15:val="{A4DDCFB5-5200-42DF-BF3D-69A6A312E5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22C0E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4"/>
      <w:szCs w:val="24"/>
      <w:bdr w:val="ni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C22C0E"/>
    <w:pPr>
      <w:pBdr>
        <w:top w:val="nil"/>
        <w:left w:val="nil"/>
        <w:bottom w:val="nil"/>
        <w:right w:val="nil"/>
        <w:between w:val="nil"/>
        <w:bar w:val="nil"/>
      </w:pBdr>
      <w:spacing w:after="160" w:line="259" w:lineRule="auto"/>
    </w:pPr>
    <w:rPr>
      <w:rFonts w:ascii="Calibri" w:eastAsia="Calibri" w:hAnsi="Calibri" w:cs="Calibri"/>
      <w:color w:val="000000"/>
      <w:u w:color="000000"/>
      <w:bdr w:val="nil"/>
      <w:lang w:val="en-GB" w:eastAsia="en-GB"/>
    </w:rPr>
  </w:style>
  <w:style w:type="paragraph" w:styleId="Footer">
    <w:name w:val="footer"/>
    <w:basedOn w:val="Normal"/>
    <w:link w:val="FooterChar"/>
    <w:uiPriority w:val="99"/>
    <w:unhideWhenUsed/>
    <w:rsid w:val="00C22C0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22C0E"/>
    <w:rPr>
      <w:rFonts w:ascii="Times New Roman" w:eastAsia="Arial Unicode MS" w:hAnsi="Times New Roman" w:cs="Times New Roman"/>
      <w:sz w:val="24"/>
      <w:szCs w:val="24"/>
      <w:bdr w:val="ni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2C0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C0E"/>
    <w:rPr>
      <w:rFonts w:ascii="Tahoma" w:eastAsia="Arial Unicode MS" w:hAnsi="Tahoma" w:cs="Tahoma"/>
      <w:sz w:val="16"/>
      <w:szCs w:val="16"/>
      <w:bdr w:val="n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567</Words>
  <Characters>2955</Characters>
  <Application>Microsoft Office Word</Application>
  <DocSecurity>0</DocSecurity>
  <Lines>107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UMC Utrecht, depm.: Radiotherapy</Company>
  <LinksUpToDate>false</LinksUpToDate>
  <CharactersWithSpaces>3469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Yuana</dc:creator>
  <cp:lastModifiedBy>MDPI</cp:lastModifiedBy>
  <cp:revision>4</cp:revision>
  <dcterms:created xsi:type="dcterms:W3CDTF">2020-04-15T16:07:00Z</dcterms:created>
  <dcterms:modified xsi:type="dcterms:W3CDTF">2020-04-24T02:11:00Z</dcterms:modified>
</cp:coreProperties>
</file>