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B87149C" w14:textId="77777777" w:rsidR="002E7FAC" w:rsidRDefault="002E7FAC" w:rsidP="002E7FAC">
      <w:pPr>
        <w:jc w:val="center"/>
        <w:rPr>
          <w:rFonts w:ascii="Segoe UI" w:hAnsi="Segoe UI" w:cs="Segoe UI"/>
          <w:noProof/>
          <w:sz w:val="20"/>
          <w:szCs w:val="22"/>
        </w:rPr>
      </w:pPr>
    </w:p>
    <w:p w14:paraId="282E58AD" w14:textId="77777777" w:rsidR="002E7FAC" w:rsidRDefault="002E7FAC" w:rsidP="002E7FAC">
      <w:pPr>
        <w:jc w:val="center"/>
        <w:rPr>
          <w:rFonts w:ascii="Segoe UI" w:hAnsi="Segoe UI" w:cs="Segoe UI"/>
          <w:noProof/>
          <w:sz w:val="20"/>
          <w:szCs w:val="22"/>
        </w:rPr>
      </w:pPr>
    </w:p>
    <w:p w14:paraId="6848F377" w14:textId="77777777" w:rsidR="00C6239F" w:rsidRDefault="00C6239F" w:rsidP="002E7FAC">
      <w:pPr>
        <w:jc w:val="center"/>
        <w:rPr>
          <w:rFonts w:ascii="Segoe UI" w:hAnsi="Segoe UI" w:cs="Segoe UI"/>
          <w:b/>
        </w:rPr>
      </w:pPr>
    </w:p>
    <w:p w14:paraId="57448BE2" w14:textId="02F3BEA2" w:rsidR="00A91F0C" w:rsidRDefault="00D325AF" w:rsidP="002E7FAC">
      <w:pPr>
        <w:jc w:val="center"/>
        <w:rPr>
          <w:rFonts w:ascii="Segoe UI" w:hAnsi="Segoe UI" w:cs="Segoe UI"/>
          <w:b/>
          <w:sz w:val="30"/>
        </w:rPr>
      </w:pPr>
      <w:r w:rsidRPr="00C6239F">
        <w:rPr>
          <w:rFonts w:ascii="Segoe UI" w:hAnsi="Segoe UI" w:cs="Segoe UI"/>
          <w:b/>
          <w:sz w:val="30"/>
        </w:rPr>
        <w:t xml:space="preserve">Supplementary </w:t>
      </w:r>
      <w:r w:rsidR="009171F0">
        <w:rPr>
          <w:rFonts w:ascii="Segoe UI" w:hAnsi="Segoe UI" w:cs="Segoe UI"/>
          <w:b/>
          <w:sz w:val="30"/>
        </w:rPr>
        <w:t>Information</w:t>
      </w:r>
    </w:p>
    <w:p w14:paraId="52F76944" w14:textId="77777777" w:rsidR="009171F0" w:rsidRDefault="009171F0" w:rsidP="002E7FAC">
      <w:pPr>
        <w:jc w:val="center"/>
        <w:rPr>
          <w:rFonts w:ascii="Segoe UI" w:hAnsi="Segoe UI" w:cs="Segoe UI"/>
          <w:b/>
          <w:sz w:val="30"/>
        </w:rPr>
      </w:pPr>
    </w:p>
    <w:p w14:paraId="1DB1C1BE" w14:textId="47626347" w:rsidR="009171F0" w:rsidRDefault="009171F0" w:rsidP="002E7FAC">
      <w:pPr>
        <w:jc w:val="center"/>
        <w:rPr>
          <w:rFonts w:ascii="Segoe UI" w:hAnsi="Segoe UI" w:cs="Segoe UI"/>
          <w:b/>
          <w:sz w:val="30"/>
        </w:rPr>
      </w:pPr>
    </w:p>
    <w:p w14:paraId="7989F3EE" w14:textId="77777777" w:rsidR="009171F0" w:rsidRPr="006A304F" w:rsidRDefault="009171F0" w:rsidP="009171F0">
      <w:pPr>
        <w:pStyle w:val="MDPI12title"/>
        <w:spacing w:line="240" w:lineRule="atLeast"/>
      </w:pPr>
      <w:r w:rsidRPr="006A304F">
        <w:t xml:space="preserve">Multi-omics characterization of inflammatory bowel disease induced hyperplasia/dysplasia in the </w:t>
      </w:r>
      <w:r w:rsidRPr="006A304F">
        <w:rPr>
          <w:i/>
        </w:rPr>
        <w:t>Rag2</w:t>
      </w:r>
      <w:r w:rsidRPr="006A304F">
        <w:rPr>
          <w:i/>
          <w:vertAlign w:val="superscript"/>
        </w:rPr>
        <w:t>-/-</w:t>
      </w:r>
      <w:r w:rsidRPr="006A304F">
        <w:rPr>
          <w:i/>
        </w:rPr>
        <w:t xml:space="preserve"> / Il10</w:t>
      </w:r>
      <w:r w:rsidRPr="006A304F">
        <w:rPr>
          <w:i/>
          <w:vertAlign w:val="superscript"/>
        </w:rPr>
        <w:t>-/-</w:t>
      </w:r>
      <w:r w:rsidRPr="006A304F">
        <w:t xml:space="preserve"> mouse model</w:t>
      </w:r>
    </w:p>
    <w:p w14:paraId="2C947225" w14:textId="77777777" w:rsidR="009171F0" w:rsidRDefault="009171F0" w:rsidP="009171F0">
      <w:pPr>
        <w:adjustRightInd w:val="0"/>
        <w:snapToGrid w:val="0"/>
        <w:spacing w:after="120" w:line="260" w:lineRule="atLeast"/>
        <w:outlineLvl w:val="0"/>
        <w:rPr>
          <w:rFonts w:ascii="Palatino Linotype" w:hAnsi="Palatino Linotype" w:cs="Segoe UI"/>
          <w:b/>
          <w:sz w:val="20"/>
        </w:rPr>
      </w:pPr>
    </w:p>
    <w:p w14:paraId="3C5FDBDC" w14:textId="5CB5268A" w:rsidR="009171F0" w:rsidRPr="006A304F" w:rsidRDefault="009171F0" w:rsidP="009171F0">
      <w:pPr>
        <w:adjustRightInd w:val="0"/>
        <w:snapToGrid w:val="0"/>
        <w:spacing w:after="120" w:line="260" w:lineRule="atLeast"/>
        <w:outlineLvl w:val="0"/>
        <w:rPr>
          <w:rFonts w:ascii="Palatino Linotype" w:hAnsi="Palatino Linotype" w:cs="Segoe UI"/>
          <w:b/>
          <w:sz w:val="20"/>
        </w:rPr>
      </w:pPr>
      <w:r w:rsidRPr="006A304F">
        <w:rPr>
          <w:rFonts w:ascii="Palatino Linotype" w:hAnsi="Palatino Linotype" w:cs="Segoe UI"/>
          <w:b/>
          <w:sz w:val="20"/>
        </w:rPr>
        <w:t>Qiyuan Han</w:t>
      </w:r>
      <w:r w:rsidRPr="006A304F">
        <w:rPr>
          <w:rFonts w:ascii="Palatino Linotype" w:hAnsi="Palatino Linotype" w:cs="Segoe UI"/>
          <w:b/>
          <w:sz w:val="20"/>
          <w:vertAlign w:val="superscript"/>
        </w:rPr>
        <w:t>1</w:t>
      </w:r>
      <w:r w:rsidRPr="006A304F">
        <w:rPr>
          <w:rFonts w:ascii="Palatino Linotype" w:hAnsi="Palatino Linotype" w:cs="Segoe UI"/>
          <w:b/>
          <w:sz w:val="20"/>
        </w:rPr>
        <w:t>, Thomas J.Y. Kono</w:t>
      </w:r>
      <w:r w:rsidRPr="006A304F">
        <w:rPr>
          <w:rFonts w:ascii="Palatino Linotype" w:hAnsi="Palatino Linotype" w:cs="Segoe UI"/>
          <w:b/>
          <w:sz w:val="20"/>
          <w:vertAlign w:val="superscript"/>
        </w:rPr>
        <w:t>2</w:t>
      </w:r>
      <w:r w:rsidRPr="006A304F">
        <w:rPr>
          <w:rFonts w:ascii="Palatino Linotype" w:hAnsi="Palatino Linotype" w:cs="Segoe UI"/>
          <w:b/>
          <w:sz w:val="20"/>
        </w:rPr>
        <w:t>, Charles G. Knutson</w:t>
      </w:r>
      <w:r w:rsidRPr="006A304F">
        <w:rPr>
          <w:rFonts w:ascii="Palatino Linotype" w:hAnsi="Palatino Linotype" w:cs="Segoe UI"/>
          <w:b/>
          <w:sz w:val="20"/>
          <w:vertAlign w:val="superscript"/>
        </w:rPr>
        <w:t>3</w:t>
      </w:r>
      <w:r w:rsidRPr="006A304F">
        <w:rPr>
          <w:rFonts w:ascii="Palatino Linotype" w:hAnsi="Palatino Linotype" w:cs="Segoe UI"/>
          <w:b/>
          <w:sz w:val="20"/>
        </w:rPr>
        <w:t>, Nicola M. Parry</w:t>
      </w:r>
      <w:r w:rsidRPr="006A304F">
        <w:rPr>
          <w:rFonts w:ascii="Palatino Linotype" w:hAnsi="Palatino Linotype" w:cs="Segoe UI"/>
          <w:b/>
          <w:sz w:val="20"/>
          <w:vertAlign w:val="superscript"/>
        </w:rPr>
        <w:t>4</w:t>
      </w:r>
      <w:r w:rsidRPr="006A304F">
        <w:rPr>
          <w:rFonts w:ascii="Palatino Linotype" w:hAnsi="Palatino Linotype" w:cs="Segoe UI"/>
          <w:b/>
          <w:sz w:val="20"/>
        </w:rPr>
        <w:t>, Christopher L. Seiler</w:t>
      </w:r>
      <w:r w:rsidRPr="006A304F">
        <w:rPr>
          <w:rFonts w:ascii="Palatino Linotype" w:hAnsi="Palatino Linotype" w:cs="Segoe UI"/>
          <w:b/>
          <w:sz w:val="20"/>
          <w:vertAlign w:val="superscript"/>
        </w:rPr>
        <w:t>5</w:t>
      </w:r>
      <w:r w:rsidRPr="006A304F">
        <w:rPr>
          <w:rFonts w:ascii="Palatino Linotype" w:hAnsi="Palatino Linotype" w:cs="Segoe UI"/>
          <w:b/>
          <w:sz w:val="20"/>
        </w:rPr>
        <w:t>, James G. Fox</w:t>
      </w:r>
      <w:r w:rsidRPr="006A304F">
        <w:rPr>
          <w:rFonts w:ascii="Palatino Linotype" w:hAnsi="Palatino Linotype" w:cs="Segoe UI"/>
          <w:b/>
          <w:sz w:val="20"/>
          <w:vertAlign w:val="superscript"/>
        </w:rPr>
        <w:t>3</w:t>
      </w:r>
      <w:r w:rsidRPr="006A304F">
        <w:rPr>
          <w:rFonts w:ascii="Palatino Linotype" w:hAnsi="Palatino Linotype" w:cs="Segoe UI"/>
          <w:b/>
          <w:sz w:val="20"/>
        </w:rPr>
        <w:t>, Steven R. Tannenbaum</w:t>
      </w:r>
      <w:r w:rsidRPr="006A304F">
        <w:rPr>
          <w:rFonts w:ascii="Palatino Linotype" w:hAnsi="Palatino Linotype" w:cs="Segoe UI"/>
          <w:b/>
          <w:sz w:val="20"/>
          <w:vertAlign w:val="superscript"/>
        </w:rPr>
        <w:t>3</w:t>
      </w:r>
      <w:r w:rsidRPr="006A304F">
        <w:rPr>
          <w:rFonts w:ascii="Palatino Linotype" w:hAnsi="Palatino Linotype" w:cs="Segoe UI"/>
          <w:b/>
          <w:sz w:val="20"/>
        </w:rPr>
        <w:t>, and Natalia Y. Tretyakova</w:t>
      </w:r>
      <w:r w:rsidRPr="006A304F">
        <w:rPr>
          <w:rFonts w:ascii="Palatino Linotype" w:hAnsi="Palatino Linotype" w:cs="Segoe UI"/>
          <w:b/>
          <w:sz w:val="20"/>
          <w:vertAlign w:val="superscript"/>
        </w:rPr>
        <w:t>5*</w:t>
      </w:r>
    </w:p>
    <w:p w14:paraId="44825E10" w14:textId="77777777" w:rsidR="009171F0" w:rsidRPr="006A304F" w:rsidRDefault="009171F0" w:rsidP="009171F0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 w:cs="Segoe UI"/>
          <w:sz w:val="18"/>
          <w:szCs w:val="18"/>
        </w:rPr>
      </w:pPr>
      <w:r w:rsidRPr="006A304F">
        <w:rPr>
          <w:rFonts w:ascii="Palatino Linotype" w:hAnsi="Palatino Linotype"/>
          <w:sz w:val="18"/>
          <w:szCs w:val="18"/>
          <w:vertAlign w:val="superscript"/>
        </w:rPr>
        <w:t>1</w:t>
      </w:r>
      <w:r w:rsidRPr="006A304F">
        <w:rPr>
          <w:rFonts w:ascii="Palatino Linotype" w:hAnsi="Palatino Linotype"/>
          <w:sz w:val="18"/>
          <w:szCs w:val="18"/>
        </w:rPr>
        <w:tab/>
      </w:r>
      <w:r w:rsidRPr="006A304F">
        <w:rPr>
          <w:rFonts w:ascii="Palatino Linotype" w:hAnsi="Palatino Linotype" w:cs="Segoe UI"/>
          <w:sz w:val="18"/>
          <w:szCs w:val="18"/>
        </w:rPr>
        <w:t>Department of Biochemistry, Molecular Biology and Biophysics, University of Minnesota</w:t>
      </w:r>
    </w:p>
    <w:p w14:paraId="585F6F2B" w14:textId="77777777" w:rsidR="009171F0" w:rsidRPr="006A304F" w:rsidRDefault="009171F0" w:rsidP="009171F0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 w:cs="Segoe UI"/>
          <w:sz w:val="18"/>
          <w:szCs w:val="18"/>
        </w:rPr>
      </w:pPr>
      <w:r w:rsidRPr="006A304F">
        <w:rPr>
          <w:rFonts w:ascii="Palatino Linotype" w:hAnsi="Palatino Linotype"/>
          <w:sz w:val="18"/>
          <w:szCs w:val="18"/>
          <w:vertAlign w:val="superscript"/>
        </w:rPr>
        <w:t>2</w:t>
      </w:r>
      <w:r w:rsidRPr="006A304F">
        <w:rPr>
          <w:rFonts w:ascii="Palatino Linotype" w:hAnsi="Palatino Linotype"/>
          <w:sz w:val="18"/>
          <w:szCs w:val="18"/>
        </w:rPr>
        <w:tab/>
      </w:r>
      <w:r w:rsidRPr="006A304F">
        <w:rPr>
          <w:rFonts w:ascii="Palatino Linotype" w:hAnsi="Palatino Linotype" w:cs="Segoe UI"/>
          <w:sz w:val="18"/>
          <w:szCs w:val="18"/>
        </w:rPr>
        <w:t>Minnesota Supercomputing Institute, University of Minnesota</w:t>
      </w:r>
    </w:p>
    <w:p w14:paraId="603898EA" w14:textId="77777777" w:rsidR="009171F0" w:rsidRPr="006A304F" w:rsidRDefault="009171F0" w:rsidP="009171F0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 w:cs="Segoe UI"/>
          <w:sz w:val="18"/>
          <w:szCs w:val="18"/>
        </w:rPr>
      </w:pPr>
      <w:r w:rsidRPr="006A304F">
        <w:rPr>
          <w:rFonts w:ascii="Palatino Linotype" w:hAnsi="Palatino Linotype"/>
          <w:sz w:val="18"/>
          <w:szCs w:val="18"/>
          <w:vertAlign w:val="superscript"/>
        </w:rPr>
        <w:t>3</w:t>
      </w:r>
      <w:r w:rsidRPr="006A304F">
        <w:rPr>
          <w:rFonts w:ascii="Palatino Linotype" w:hAnsi="Palatino Linotype"/>
          <w:sz w:val="18"/>
          <w:szCs w:val="18"/>
        </w:rPr>
        <w:tab/>
      </w:r>
      <w:r w:rsidRPr="006A304F">
        <w:rPr>
          <w:rFonts w:ascii="Palatino Linotype" w:hAnsi="Palatino Linotype" w:cs="Segoe UI"/>
          <w:sz w:val="18"/>
          <w:szCs w:val="18"/>
        </w:rPr>
        <w:t xml:space="preserve">Department of Biological Engineering, Massachusetts Institute of Technology </w:t>
      </w:r>
    </w:p>
    <w:p w14:paraId="764F301B" w14:textId="77777777" w:rsidR="009171F0" w:rsidRPr="006A304F" w:rsidRDefault="009171F0" w:rsidP="009171F0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 w:cs="Segoe UI"/>
          <w:sz w:val="18"/>
          <w:szCs w:val="18"/>
        </w:rPr>
      </w:pPr>
      <w:r w:rsidRPr="006A304F">
        <w:rPr>
          <w:rFonts w:ascii="Palatino Linotype" w:hAnsi="Palatino Linotype"/>
          <w:sz w:val="18"/>
          <w:szCs w:val="18"/>
          <w:vertAlign w:val="superscript"/>
        </w:rPr>
        <w:t>4</w:t>
      </w:r>
      <w:r w:rsidRPr="006A304F">
        <w:rPr>
          <w:rFonts w:ascii="Palatino Linotype" w:hAnsi="Palatino Linotype"/>
          <w:sz w:val="18"/>
          <w:szCs w:val="18"/>
        </w:rPr>
        <w:tab/>
      </w:r>
      <w:r w:rsidRPr="006A304F">
        <w:rPr>
          <w:rFonts w:ascii="Palatino Linotype" w:hAnsi="Palatino Linotype" w:cs="Segoe UI"/>
          <w:sz w:val="18"/>
          <w:szCs w:val="18"/>
        </w:rPr>
        <w:t>Division of Comparative Medicine, Massachusetts Institute of Technology</w:t>
      </w:r>
    </w:p>
    <w:p w14:paraId="56F5799D" w14:textId="77777777" w:rsidR="009171F0" w:rsidRPr="006A304F" w:rsidRDefault="009171F0" w:rsidP="009171F0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 w:cs="Segoe UI"/>
          <w:sz w:val="18"/>
          <w:szCs w:val="18"/>
        </w:rPr>
      </w:pPr>
      <w:r w:rsidRPr="006A304F">
        <w:rPr>
          <w:rFonts w:ascii="Palatino Linotype" w:hAnsi="Palatino Linotype"/>
          <w:sz w:val="18"/>
          <w:szCs w:val="18"/>
          <w:vertAlign w:val="superscript"/>
        </w:rPr>
        <w:t>5</w:t>
      </w:r>
      <w:r w:rsidRPr="006A304F">
        <w:rPr>
          <w:rFonts w:ascii="Palatino Linotype" w:hAnsi="Palatino Linotype"/>
          <w:sz w:val="18"/>
          <w:szCs w:val="18"/>
        </w:rPr>
        <w:tab/>
      </w:r>
      <w:r w:rsidRPr="006A304F">
        <w:rPr>
          <w:rFonts w:ascii="Palatino Linotype" w:hAnsi="Palatino Linotype" w:cs="Segoe UI"/>
          <w:sz w:val="18"/>
          <w:szCs w:val="18"/>
        </w:rPr>
        <w:t>Department of Medicinal Chemistry, University of Minnesota</w:t>
      </w:r>
    </w:p>
    <w:p w14:paraId="224754FA" w14:textId="77777777" w:rsidR="009171F0" w:rsidRDefault="009171F0" w:rsidP="009171F0">
      <w:pPr>
        <w:adjustRightInd w:val="0"/>
        <w:snapToGrid w:val="0"/>
        <w:spacing w:line="200" w:lineRule="atLeast"/>
        <w:ind w:left="311" w:hanging="198"/>
        <w:rPr>
          <w:rFonts w:ascii="Palatino Linotype" w:hAnsi="Palatino Linotype" w:cs="Segoe UI"/>
          <w:noProof/>
          <w:sz w:val="18"/>
          <w:szCs w:val="18"/>
        </w:rPr>
      </w:pPr>
      <w:r w:rsidRPr="006A304F">
        <w:rPr>
          <w:rFonts w:ascii="Palatino Linotype" w:hAnsi="Palatino Linotype"/>
          <w:b/>
          <w:sz w:val="18"/>
          <w:szCs w:val="18"/>
        </w:rPr>
        <w:t>*</w:t>
      </w:r>
      <w:r w:rsidRPr="006A304F">
        <w:rPr>
          <w:rFonts w:ascii="Palatino Linotype" w:hAnsi="Palatino Linotype"/>
          <w:sz w:val="18"/>
          <w:szCs w:val="18"/>
        </w:rPr>
        <w:tab/>
        <w:t xml:space="preserve">Correspondence: </w:t>
      </w:r>
      <w:r w:rsidRPr="006A304F">
        <w:rPr>
          <w:rFonts w:ascii="Palatino Linotype" w:hAnsi="Palatino Linotype" w:cs="Segoe UI"/>
          <w:noProof/>
          <w:sz w:val="18"/>
          <w:szCs w:val="18"/>
        </w:rPr>
        <w:t>trety001@umn.edu; phone: 1-612-626-3432</w:t>
      </w:r>
    </w:p>
    <w:p w14:paraId="24876712" w14:textId="77777777" w:rsidR="009171F0" w:rsidRDefault="009171F0" w:rsidP="002E7FAC">
      <w:pPr>
        <w:jc w:val="center"/>
        <w:rPr>
          <w:rFonts w:ascii="Segoe UI" w:hAnsi="Segoe UI" w:cs="Segoe UI"/>
          <w:b/>
          <w:sz w:val="30"/>
        </w:rPr>
      </w:pPr>
    </w:p>
    <w:p w14:paraId="196C23BB" w14:textId="64A38AA2" w:rsidR="002A04CE" w:rsidRDefault="002A04CE" w:rsidP="002E7FAC">
      <w:pPr>
        <w:jc w:val="center"/>
        <w:rPr>
          <w:rFonts w:ascii="Segoe UI" w:hAnsi="Segoe UI" w:cs="Segoe UI"/>
          <w:b/>
          <w:sz w:val="30"/>
        </w:rPr>
      </w:pPr>
    </w:p>
    <w:p w14:paraId="710A508D" w14:textId="33C11A0C" w:rsidR="002A04CE" w:rsidRDefault="002A04CE" w:rsidP="002E7FAC">
      <w:pPr>
        <w:jc w:val="center"/>
        <w:rPr>
          <w:rFonts w:ascii="Segoe UI" w:hAnsi="Segoe UI" w:cs="Segoe UI"/>
          <w:b/>
          <w:sz w:val="30"/>
        </w:rPr>
      </w:pPr>
    </w:p>
    <w:p w14:paraId="12111CB2" w14:textId="77777777" w:rsidR="002A04CE" w:rsidRPr="00C6239F" w:rsidRDefault="002A04CE" w:rsidP="002E7FAC">
      <w:pPr>
        <w:jc w:val="center"/>
        <w:rPr>
          <w:rFonts w:ascii="Segoe UI" w:hAnsi="Segoe UI" w:cs="Segoe UI"/>
          <w:b/>
          <w:sz w:val="30"/>
        </w:rPr>
      </w:pPr>
    </w:p>
    <w:p w14:paraId="35E47BE7" w14:textId="19721BBF" w:rsidR="00FF1368" w:rsidRDefault="00FF1368" w:rsidP="00D325AF">
      <w:pPr>
        <w:jc w:val="center"/>
        <w:rPr>
          <w:rFonts w:ascii="Segoe UI" w:hAnsi="Segoe UI" w:cs="Segoe UI"/>
          <w:b/>
        </w:rPr>
      </w:pPr>
    </w:p>
    <w:p w14:paraId="025FD53E" w14:textId="2593C59A" w:rsidR="009171F0" w:rsidRDefault="009171F0">
      <w:pPr>
        <w:rPr>
          <w:rFonts w:ascii="Segoe UI" w:hAnsi="Segoe UI" w:cs="Segoe UI"/>
          <w:b/>
          <w:highlight w:val="yellow"/>
        </w:rPr>
      </w:pPr>
      <w:r>
        <w:rPr>
          <w:rFonts w:ascii="Segoe UI" w:hAnsi="Segoe UI" w:cs="Segoe UI"/>
          <w:b/>
          <w:highlight w:val="yellow"/>
        </w:rPr>
        <w:br w:type="page"/>
      </w:r>
    </w:p>
    <w:p w14:paraId="31106310" w14:textId="77777777" w:rsidR="00FF1368" w:rsidRPr="00FF1368" w:rsidRDefault="00FF1368" w:rsidP="00D325AF">
      <w:pPr>
        <w:jc w:val="center"/>
        <w:rPr>
          <w:rFonts w:ascii="Segoe UI" w:hAnsi="Segoe UI" w:cs="Segoe UI"/>
          <w:b/>
          <w:highlight w:val="yellow"/>
        </w:rPr>
      </w:pPr>
    </w:p>
    <w:p w14:paraId="7BB750CA" w14:textId="77777777" w:rsidR="00A91F0C" w:rsidRPr="004432D9" w:rsidRDefault="00A91F0C">
      <w:pPr>
        <w:rPr>
          <w:rFonts w:ascii="Segoe UI" w:hAnsi="Segoe UI" w:cs="Segoe UI"/>
        </w:rPr>
      </w:pPr>
    </w:p>
    <w:tbl>
      <w:tblPr>
        <w:tblStyle w:val="TableGrid"/>
        <w:tblW w:w="5000" w:type="pct"/>
        <w:tblLayout w:type="fixed"/>
        <w:tblCellMar>
          <w:left w:w="115" w:type="dxa"/>
          <w:right w:w="115" w:type="dxa"/>
        </w:tblCellMar>
        <w:tblLook w:val="04A0" w:firstRow="1" w:lastRow="0" w:firstColumn="1" w:lastColumn="0" w:noHBand="0" w:noVBand="1"/>
      </w:tblPr>
      <w:tblGrid>
        <w:gridCol w:w="1221"/>
        <w:gridCol w:w="989"/>
        <w:gridCol w:w="1585"/>
        <w:gridCol w:w="960"/>
        <w:gridCol w:w="959"/>
        <w:gridCol w:w="989"/>
        <w:gridCol w:w="1427"/>
        <w:gridCol w:w="1207"/>
        <w:gridCol w:w="733"/>
      </w:tblGrid>
      <w:tr w:rsidR="004432D9" w:rsidRPr="004432D9" w14:paraId="046FEB48" w14:textId="77777777" w:rsidTr="004432D9">
        <w:tc>
          <w:tcPr>
            <w:tcW w:w="1139" w:type="dxa"/>
          </w:tcPr>
          <w:p w14:paraId="6C4FE5EA" w14:textId="75885E19" w:rsidR="00606D57" w:rsidRPr="004432D9" w:rsidRDefault="00606D57" w:rsidP="004432D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b/>
                <w:sz w:val="20"/>
                <w:szCs w:val="20"/>
              </w:rPr>
              <w:t>Mouse ID</w:t>
            </w:r>
          </w:p>
        </w:tc>
        <w:tc>
          <w:tcPr>
            <w:tcW w:w="923" w:type="dxa"/>
          </w:tcPr>
          <w:p w14:paraId="5034298F" w14:textId="05CBC670" w:rsidR="00606D57" w:rsidRPr="004432D9" w:rsidRDefault="00606D57" w:rsidP="004432D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b/>
                <w:sz w:val="20"/>
                <w:szCs w:val="20"/>
              </w:rPr>
              <w:t>Group</w:t>
            </w:r>
          </w:p>
        </w:tc>
        <w:tc>
          <w:tcPr>
            <w:tcW w:w="1479" w:type="dxa"/>
          </w:tcPr>
          <w:p w14:paraId="7C2B2DFC" w14:textId="100AB4EE" w:rsidR="00606D57" w:rsidRPr="004432D9" w:rsidRDefault="00606D57" w:rsidP="004432D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t>Inflammation</w:t>
            </w:r>
          </w:p>
        </w:tc>
        <w:tc>
          <w:tcPr>
            <w:tcW w:w="896" w:type="dxa"/>
          </w:tcPr>
          <w:p w14:paraId="1F9010FD" w14:textId="6323CF3E" w:rsidR="00606D57" w:rsidRPr="004432D9" w:rsidRDefault="00606D57" w:rsidP="004432D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t>Edema</w:t>
            </w:r>
          </w:p>
        </w:tc>
        <w:tc>
          <w:tcPr>
            <w:tcW w:w="895" w:type="dxa"/>
          </w:tcPr>
          <w:p w14:paraId="74E877DF" w14:textId="716CFCD0" w:rsidR="00606D57" w:rsidRPr="004432D9" w:rsidRDefault="00606D57" w:rsidP="004432D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Epi </w:t>
            </w:r>
            <w:r w:rsidR="004432D9"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br/>
            </w:r>
            <w:r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t>defects</w:t>
            </w:r>
          </w:p>
        </w:tc>
        <w:tc>
          <w:tcPr>
            <w:tcW w:w="923" w:type="dxa"/>
          </w:tcPr>
          <w:p w14:paraId="154BAE89" w14:textId="46BA3AC2" w:rsidR="00606D57" w:rsidRPr="004432D9" w:rsidRDefault="00606D57" w:rsidP="004432D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t xml:space="preserve">Crypt </w:t>
            </w:r>
            <w:r w:rsidR="004432D9"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br/>
            </w:r>
            <w:r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t>atrophy</w:t>
            </w:r>
          </w:p>
        </w:tc>
        <w:tc>
          <w:tcPr>
            <w:tcW w:w="1332" w:type="dxa"/>
          </w:tcPr>
          <w:p w14:paraId="13736F73" w14:textId="5BCCE1B5" w:rsidR="00606D57" w:rsidRPr="004432D9" w:rsidRDefault="00606D57" w:rsidP="004432D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t>Hyperplasia</w:t>
            </w:r>
          </w:p>
        </w:tc>
        <w:tc>
          <w:tcPr>
            <w:tcW w:w="1126" w:type="dxa"/>
          </w:tcPr>
          <w:p w14:paraId="4E8752A9" w14:textId="5DFBCA39" w:rsidR="00606D57" w:rsidRPr="004432D9" w:rsidRDefault="00606D57" w:rsidP="004432D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t>Dysplasia</w:t>
            </w:r>
          </w:p>
        </w:tc>
        <w:tc>
          <w:tcPr>
            <w:tcW w:w="684" w:type="dxa"/>
          </w:tcPr>
          <w:p w14:paraId="387B0CF7" w14:textId="1F89D502" w:rsidR="00606D57" w:rsidRPr="004432D9" w:rsidRDefault="00606D57" w:rsidP="004432D9">
            <w:pPr>
              <w:jc w:val="center"/>
              <w:rPr>
                <w:rFonts w:ascii="Segoe UI" w:hAnsi="Segoe UI" w:cs="Segoe UI"/>
                <w:b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/>
                <w:sz w:val="20"/>
                <w:szCs w:val="20"/>
              </w:rPr>
              <w:t>sum</w:t>
            </w:r>
          </w:p>
        </w:tc>
      </w:tr>
      <w:tr w:rsidR="004432D9" w:rsidRPr="004432D9" w14:paraId="1E4DC4CE" w14:textId="77777777" w:rsidTr="004432D9">
        <w:tc>
          <w:tcPr>
            <w:tcW w:w="1139" w:type="dxa"/>
          </w:tcPr>
          <w:p w14:paraId="54A1CA93" w14:textId="28255DA8" w:rsidR="00606D57" w:rsidRPr="004432D9" w:rsidRDefault="00606D57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12-5624</w:t>
            </w:r>
          </w:p>
        </w:tc>
        <w:tc>
          <w:tcPr>
            <w:tcW w:w="923" w:type="dxa"/>
          </w:tcPr>
          <w:p w14:paraId="5DE543B0" w14:textId="4C68FB98" w:rsidR="00606D57" w:rsidRPr="004432D9" w:rsidRDefault="00606D57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Control</w:t>
            </w:r>
          </w:p>
        </w:tc>
        <w:tc>
          <w:tcPr>
            <w:tcW w:w="1479" w:type="dxa"/>
          </w:tcPr>
          <w:p w14:paraId="3F62B26B" w14:textId="3A7B435E" w:rsidR="00606D57" w:rsidRPr="004432D9" w:rsidRDefault="00606D57" w:rsidP="004432D9">
            <w:pPr>
              <w:tabs>
                <w:tab w:val="decimal" w:pos="64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0.5</w:t>
            </w:r>
          </w:p>
        </w:tc>
        <w:tc>
          <w:tcPr>
            <w:tcW w:w="896" w:type="dxa"/>
          </w:tcPr>
          <w:p w14:paraId="486399E6" w14:textId="25D44019" w:rsidR="00606D57" w:rsidRPr="004432D9" w:rsidRDefault="00606D57" w:rsidP="004432D9">
            <w:pPr>
              <w:tabs>
                <w:tab w:val="decimal" w:pos="40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14:paraId="3013DD07" w14:textId="5AABB57B" w:rsidR="00606D57" w:rsidRPr="004432D9" w:rsidRDefault="00606D57" w:rsidP="004432D9">
            <w:pPr>
              <w:tabs>
                <w:tab w:val="decimal" w:pos="34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923" w:type="dxa"/>
          </w:tcPr>
          <w:p w14:paraId="05133288" w14:textId="085E0495" w:rsidR="00606D57" w:rsidRPr="004432D9" w:rsidRDefault="00606D57" w:rsidP="004432D9">
            <w:pPr>
              <w:tabs>
                <w:tab w:val="decimal" w:pos="37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1332" w:type="dxa"/>
          </w:tcPr>
          <w:p w14:paraId="4C864ED7" w14:textId="19E273E4" w:rsidR="00606D57" w:rsidRPr="004432D9" w:rsidRDefault="00606D57" w:rsidP="004432D9">
            <w:pPr>
              <w:tabs>
                <w:tab w:val="decimal" w:pos="644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14:paraId="578B7A3A" w14:textId="1F84A84E" w:rsidR="00606D57" w:rsidRPr="004432D9" w:rsidRDefault="00606D57" w:rsidP="004432D9">
            <w:pPr>
              <w:tabs>
                <w:tab w:val="decimal" w:pos="5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14:paraId="1CDCE108" w14:textId="3F396DD6" w:rsidR="00606D57" w:rsidRPr="004432D9" w:rsidRDefault="00606D57" w:rsidP="004432D9">
            <w:pPr>
              <w:tabs>
                <w:tab w:val="decimal" w:pos="263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0.5</w:t>
            </w:r>
          </w:p>
        </w:tc>
      </w:tr>
      <w:tr w:rsidR="004432D9" w:rsidRPr="004432D9" w14:paraId="5F822A41" w14:textId="77777777" w:rsidTr="004432D9">
        <w:tc>
          <w:tcPr>
            <w:tcW w:w="1139" w:type="dxa"/>
          </w:tcPr>
          <w:p w14:paraId="2883CF4E" w14:textId="79CA5502" w:rsidR="00606D57" w:rsidRPr="004432D9" w:rsidRDefault="00606D57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12-5625</w:t>
            </w:r>
          </w:p>
        </w:tc>
        <w:tc>
          <w:tcPr>
            <w:tcW w:w="923" w:type="dxa"/>
          </w:tcPr>
          <w:p w14:paraId="63B4AD37" w14:textId="046C2F18" w:rsidR="00606D57" w:rsidRPr="004432D9" w:rsidRDefault="00606D57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Control</w:t>
            </w:r>
          </w:p>
        </w:tc>
        <w:tc>
          <w:tcPr>
            <w:tcW w:w="1479" w:type="dxa"/>
          </w:tcPr>
          <w:p w14:paraId="2565F491" w14:textId="193778BF" w:rsidR="00606D57" w:rsidRPr="004432D9" w:rsidRDefault="00606D57" w:rsidP="004432D9">
            <w:pPr>
              <w:tabs>
                <w:tab w:val="decimal" w:pos="64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896" w:type="dxa"/>
          </w:tcPr>
          <w:p w14:paraId="5364337E" w14:textId="001FEE3D" w:rsidR="00606D57" w:rsidRPr="004432D9" w:rsidRDefault="00606D57" w:rsidP="004432D9">
            <w:pPr>
              <w:tabs>
                <w:tab w:val="decimal" w:pos="40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14:paraId="46185A4A" w14:textId="64034C23" w:rsidR="00606D57" w:rsidRPr="004432D9" w:rsidRDefault="00606D57" w:rsidP="004432D9">
            <w:pPr>
              <w:tabs>
                <w:tab w:val="decimal" w:pos="34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923" w:type="dxa"/>
          </w:tcPr>
          <w:p w14:paraId="2F4CA9D7" w14:textId="6D8CBA79" w:rsidR="00606D57" w:rsidRPr="004432D9" w:rsidRDefault="00606D57" w:rsidP="004432D9">
            <w:pPr>
              <w:tabs>
                <w:tab w:val="decimal" w:pos="37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1332" w:type="dxa"/>
          </w:tcPr>
          <w:p w14:paraId="2B1C7898" w14:textId="4ADAA16D" w:rsidR="00606D57" w:rsidRPr="004432D9" w:rsidRDefault="00606D57" w:rsidP="004432D9">
            <w:pPr>
              <w:tabs>
                <w:tab w:val="decimal" w:pos="644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14:paraId="7E4B30BD" w14:textId="406FBAF9" w:rsidR="00606D57" w:rsidRPr="004432D9" w:rsidRDefault="00606D57" w:rsidP="004432D9">
            <w:pPr>
              <w:tabs>
                <w:tab w:val="decimal" w:pos="5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14:paraId="2599B47A" w14:textId="1964BD46" w:rsidR="00606D57" w:rsidRPr="004432D9" w:rsidRDefault="00606D57" w:rsidP="004432D9">
            <w:pPr>
              <w:tabs>
                <w:tab w:val="decimal" w:pos="263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</w:tr>
      <w:tr w:rsidR="004432D9" w:rsidRPr="004432D9" w14:paraId="5741D7A9" w14:textId="77777777" w:rsidTr="004432D9">
        <w:tc>
          <w:tcPr>
            <w:tcW w:w="1139" w:type="dxa"/>
          </w:tcPr>
          <w:p w14:paraId="1F9BF4E1" w14:textId="50BD59BB" w:rsidR="00606D57" w:rsidRPr="004432D9" w:rsidRDefault="00606D57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12-5626</w:t>
            </w:r>
          </w:p>
        </w:tc>
        <w:tc>
          <w:tcPr>
            <w:tcW w:w="923" w:type="dxa"/>
          </w:tcPr>
          <w:p w14:paraId="3D0E197B" w14:textId="45574F9C" w:rsidR="00606D57" w:rsidRPr="004432D9" w:rsidRDefault="00606D57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Control</w:t>
            </w:r>
          </w:p>
        </w:tc>
        <w:tc>
          <w:tcPr>
            <w:tcW w:w="1479" w:type="dxa"/>
          </w:tcPr>
          <w:p w14:paraId="60F450EF" w14:textId="48BDDF9A" w:rsidR="00606D57" w:rsidRPr="004432D9" w:rsidRDefault="00606D57" w:rsidP="004432D9">
            <w:pPr>
              <w:tabs>
                <w:tab w:val="decimal" w:pos="64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896" w:type="dxa"/>
          </w:tcPr>
          <w:p w14:paraId="17D1C515" w14:textId="3737E120" w:rsidR="00606D57" w:rsidRPr="004432D9" w:rsidRDefault="00606D57" w:rsidP="004432D9">
            <w:pPr>
              <w:tabs>
                <w:tab w:val="decimal" w:pos="40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14:paraId="65826B74" w14:textId="75C45BB8" w:rsidR="00606D57" w:rsidRPr="004432D9" w:rsidRDefault="00606D57" w:rsidP="004432D9">
            <w:pPr>
              <w:tabs>
                <w:tab w:val="decimal" w:pos="34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923" w:type="dxa"/>
          </w:tcPr>
          <w:p w14:paraId="57611D27" w14:textId="08FF8C8C" w:rsidR="00606D57" w:rsidRPr="004432D9" w:rsidRDefault="00606D57" w:rsidP="004432D9">
            <w:pPr>
              <w:tabs>
                <w:tab w:val="decimal" w:pos="37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1332" w:type="dxa"/>
          </w:tcPr>
          <w:p w14:paraId="43A83D1B" w14:textId="4EBF7D26" w:rsidR="00606D57" w:rsidRPr="004432D9" w:rsidRDefault="00606D57" w:rsidP="004432D9">
            <w:pPr>
              <w:tabs>
                <w:tab w:val="decimal" w:pos="644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1126" w:type="dxa"/>
          </w:tcPr>
          <w:p w14:paraId="283D09C7" w14:textId="2330EDAD" w:rsidR="00606D57" w:rsidRPr="004432D9" w:rsidRDefault="00606D57" w:rsidP="004432D9">
            <w:pPr>
              <w:tabs>
                <w:tab w:val="decimal" w:pos="5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684" w:type="dxa"/>
          </w:tcPr>
          <w:p w14:paraId="48ACF062" w14:textId="271ADBA4" w:rsidR="00606D57" w:rsidRPr="004432D9" w:rsidRDefault="00606D57" w:rsidP="004432D9">
            <w:pPr>
              <w:tabs>
                <w:tab w:val="decimal" w:pos="263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</w:tr>
      <w:tr w:rsidR="004432D9" w:rsidRPr="004432D9" w14:paraId="5E789C54" w14:textId="77777777" w:rsidTr="004432D9">
        <w:tc>
          <w:tcPr>
            <w:tcW w:w="1139" w:type="dxa"/>
          </w:tcPr>
          <w:p w14:paraId="13FB5F3D" w14:textId="3DD27A94" w:rsidR="00353E89" w:rsidRPr="004432D9" w:rsidRDefault="00353E89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12-5638</w:t>
            </w:r>
          </w:p>
        </w:tc>
        <w:tc>
          <w:tcPr>
            <w:tcW w:w="923" w:type="dxa"/>
          </w:tcPr>
          <w:p w14:paraId="2D816FC4" w14:textId="4195EDBC" w:rsidR="00353E89" w:rsidRPr="004432D9" w:rsidRDefault="00353E89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IBD</w:t>
            </w:r>
          </w:p>
        </w:tc>
        <w:tc>
          <w:tcPr>
            <w:tcW w:w="1479" w:type="dxa"/>
          </w:tcPr>
          <w:p w14:paraId="59A98C6A" w14:textId="695FA89E" w:rsidR="00353E89" w:rsidRPr="004432D9" w:rsidRDefault="00353E89" w:rsidP="004432D9">
            <w:pPr>
              <w:tabs>
                <w:tab w:val="decimal" w:pos="64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1</w:t>
            </w:r>
          </w:p>
        </w:tc>
        <w:tc>
          <w:tcPr>
            <w:tcW w:w="896" w:type="dxa"/>
          </w:tcPr>
          <w:p w14:paraId="587CB305" w14:textId="15D498FB" w:rsidR="00353E89" w:rsidRPr="004432D9" w:rsidRDefault="00353E89" w:rsidP="004432D9">
            <w:pPr>
              <w:tabs>
                <w:tab w:val="decimal" w:pos="40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14:paraId="42ECB1F7" w14:textId="17FD9806" w:rsidR="00353E89" w:rsidRPr="004432D9" w:rsidRDefault="00353E89" w:rsidP="004432D9">
            <w:pPr>
              <w:tabs>
                <w:tab w:val="decimal" w:pos="34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923" w:type="dxa"/>
          </w:tcPr>
          <w:p w14:paraId="0D7420D5" w14:textId="76BDD28D" w:rsidR="00353E89" w:rsidRPr="004432D9" w:rsidRDefault="00353E89" w:rsidP="004432D9">
            <w:pPr>
              <w:tabs>
                <w:tab w:val="decimal" w:pos="37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1332" w:type="dxa"/>
          </w:tcPr>
          <w:p w14:paraId="3B1C4586" w14:textId="6B436A26" w:rsidR="00353E89" w:rsidRPr="004432D9" w:rsidRDefault="00353E89" w:rsidP="004432D9">
            <w:pPr>
              <w:tabs>
                <w:tab w:val="decimal" w:pos="644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0.5</w:t>
            </w:r>
          </w:p>
        </w:tc>
        <w:tc>
          <w:tcPr>
            <w:tcW w:w="1126" w:type="dxa"/>
          </w:tcPr>
          <w:p w14:paraId="46A3FDB8" w14:textId="144C289F" w:rsidR="00353E89" w:rsidRPr="004432D9" w:rsidRDefault="00353E89" w:rsidP="004432D9">
            <w:pPr>
              <w:tabs>
                <w:tab w:val="decimal" w:pos="5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0.5</w:t>
            </w:r>
          </w:p>
        </w:tc>
        <w:tc>
          <w:tcPr>
            <w:tcW w:w="684" w:type="dxa"/>
          </w:tcPr>
          <w:p w14:paraId="1C496618" w14:textId="48BF1621" w:rsidR="00353E89" w:rsidRPr="004432D9" w:rsidRDefault="00353E89" w:rsidP="004432D9">
            <w:pPr>
              <w:tabs>
                <w:tab w:val="decimal" w:pos="263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Cs/>
                <w:sz w:val="20"/>
                <w:szCs w:val="20"/>
              </w:rPr>
              <w:t>2</w:t>
            </w:r>
          </w:p>
        </w:tc>
      </w:tr>
      <w:tr w:rsidR="004432D9" w:rsidRPr="004432D9" w14:paraId="79286BFD" w14:textId="77777777" w:rsidTr="004432D9">
        <w:tc>
          <w:tcPr>
            <w:tcW w:w="1139" w:type="dxa"/>
          </w:tcPr>
          <w:p w14:paraId="54123C6C" w14:textId="24683AB1" w:rsidR="00353E89" w:rsidRPr="004432D9" w:rsidRDefault="00353E89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12-5639</w:t>
            </w:r>
          </w:p>
        </w:tc>
        <w:tc>
          <w:tcPr>
            <w:tcW w:w="923" w:type="dxa"/>
          </w:tcPr>
          <w:p w14:paraId="5AA4E961" w14:textId="2FCE2BE0" w:rsidR="00353E89" w:rsidRPr="004432D9" w:rsidRDefault="00353E89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IBD</w:t>
            </w:r>
          </w:p>
        </w:tc>
        <w:tc>
          <w:tcPr>
            <w:tcW w:w="1479" w:type="dxa"/>
          </w:tcPr>
          <w:p w14:paraId="039A0888" w14:textId="65C0DCEF" w:rsidR="00353E89" w:rsidRPr="004432D9" w:rsidRDefault="00353E89" w:rsidP="004432D9">
            <w:pPr>
              <w:tabs>
                <w:tab w:val="decimal" w:pos="64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1.5</w:t>
            </w:r>
          </w:p>
        </w:tc>
        <w:tc>
          <w:tcPr>
            <w:tcW w:w="896" w:type="dxa"/>
          </w:tcPr>
          <w:p w14:paraId="4745F829" w14:textId="32E89AB6" w:rsidR="00353E89" w:rsidRPr="004432D9" w:rsidRDefault="00353E89" w:rsidP="004432D9">
            <w:pPr>
              <w:tabs>
                <w:tab w:val="decimal" w:pos="40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</w:t>
            </w:r>
          </w:p>
        </w:tc>
        <w:tc>
          <w:tcPr>
            <w:tcW w:w="895" w:type="dxa"/>
          </w:tcPr>
          <w:p w14:paraId="624E23EB" w14:textId="20840273" w:rsidR="00353E89" w:rsidRPr="004432D9" w:rsidRDefault="00353E89" w:rsidP="004432D9">
            <w:pPr>
              <w:tabs>
                <w:tab w:val="decimal" w:pos="34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0.5</w:t>
            </w:r>
          </w:p>
        </w:tc>
        <w:tc>
          <w:tcPr>
            <w:tcW w:w="923" w:type="dxa"/>
          </w:tcPr>
          <w:p w14:paraId="6AC4E534" w14:textId="035EB073" w:rsidR="00353E89" w:rsidRPr="004432D9" w:rsidRDefault="00353E89" w:rsidP="004432D9">
            <w:pPr>
              <w:tabs>
                <w:tab w:val="decimal" w:pos="37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0.5</w:t>
            </w:r>
          </w:p>
        </w:tc>
        <w:tc>
          <w:tcPr>
            <w:tcW w:w="1332" w:type="dxa"/>
          </w:tcPr>
          <w:p w14:paraId="1E99FF3E" w14:textId="62A3E7DE" w:rsidR="00353E89" w:rsidRPr="004432D9" w:rsidRDefault="00353E89" w:rsidP="004432D9">
            <w:pPr>
              <w:tabs>
                <w:tab w:val="decimal" w:pos="644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0.5</w:t>
            </w:r>
          </w:p>
        </w:tc>
        <w:tc>
          <w:tcPr>
            <w:tcW w:w="1126" w:type="dxa"/>
          </w:tcPr>
          <w:p w14:paraId="14E1B109" w14:textId="4503236A" w:rsidR="00353E89" w:rsidRPr="004432D9" w:rsidRDefault="00353E89" w:rsidP="004432D9">
            <w:pPr>
              <w:tabs>
                <w:tab w:val="decimal" w:pos="5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1.5</w:t>
            </w:r>
          </w:p>
        </w:tc>
        <w:tc>
          <w:tcPr>
            <w:tcW w:w="684" w:type="dxa"/>
          </w:tcPr>
          <w:p w14:paraId="315172FF" w14:textId="24726556" w:rsidR="00353E89" w:rsidRPr="004432D9" w:rsidRDefault="00353E89" w:rsidP="004432D9">
            <w:pPr>
              <w:tabs>
                <w:tab w:val="decimal" w:pos="263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Cs/>
                <w:sz w:val="20"/>
                <w:szCs w:val="20"/>
              </w:rPr>
              <w:t>4.5</w:t>
            </w:r>
          </w:p>
        </w:tc>
      </w:tr>
      <w:tr w:rsidR="004432D9" w:rsidRPr="004432D9" w14:paraId="20E9B6A2" w14:textId="77777777" w:rsidTr="004432D9">
        <w:tc>
          <w:tcPr>
            <w:tcW w:w="1139" w:type="dxa"/>
          </w:tcPr>
          <w:p w14:paraId="6E28019A" w14:textId="21E7A6B8" w:rsidR="00353E89" w:rsidRPr="004432D9" w:rsidRDefault="00353E89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12-5640</w:t>
            </w:r>
          </w:p>
        </w:tc>
        <w:tc>
          <w:tcPr>
            <w:tcW w:w="923" w:type="dxa"/>
          </w:tcPr>
          <w:p w14:paraId="0FD25AE6" w14:textId="1375FD68" w:rsidR="00353E89" w:rsidRPr="004432D9" w:rsidRDefault="00353E89" w:rsidP="004432D9">
            <w:pPr>
              <w:jc w:val="center"/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hAnsi="Segoe UI" w:cs="Segoe UI"/>
                <w:sz w:val="20"/>
                <w:szCs w:val="20"/>
              </w:rPr>
              <w:t>IBD</w:t>
            </w:r>
          </w:p>
        </w:tc>
        <w:tc>
          <w:tcPr>
            <w:tcW w:w="1479" w:type="dxa"/>
          </w:tcPr>
          <w:p w14:paraId="13F5D70A" w14:textId="53A66730" w:rsidR="00353E89" w:rsidRPr="004432D9" w:rsidRDefault="00353E89" w:rsidP="004432D9">
            <w:pPr>
              <w:tabs>
                <w:tab w:val="decimal" w:pos="64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2.5</w:t>
            </w:r>
          </w:p>
        </w:tc>
        <w:tc>
          <w:tcPr>
            <w:tcW w:w="896" w:type="dxa"/>
          </w:tcPr>
          <w:p w14:paraId="594757EC" w14:textId="31D17933" w:rsidR="00353E89" w:rsidRPr="004432D9" w:rsidRDefault="00353E89" w:rsidP="004432D9">
            <w:pPr>
              <w:tabs>
                <w:tab w:val="decimal" w:pos="40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0.5</w:t>
            </w:r>
          </w:p>
        </w:tc>
        <w:tc>
          <w:tcPr>
            <w:tcW w:w="895" w:type="dxa"/>
          </w:tcPr>
          <w:p w14:paraId="2104E8E7" w14:textId="4C236E6C" w:rsidR="00353E89" w:rsidRPr="004432D9" w:rsidRDefault="00353E89" w:rsidP="004432D9">
            <w:pPr>
              <w:tabs>
                <w:tab w:val="decimal" w:pos="34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2</w:t>
            </w:r>
          </w:p>
        </w:tc>
        <w:tc>
          <w:tcPr>
            <w:tcW w:w="923" w:type="dxa"/>
          </w:tcPr>
          <w:p w14:paraId="5467BC89" w14:textId="064FF75C" w:rsidR="00353E89" w:rsidRPr="004432D9" w:rsidRDefault="00353E89" w:rsidP="004432D9">
            <w:pPr>
              <w:tabs>
                <w:tab w:val="decimal" w:pos="379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0.5</w:t>
            </w:r>
          </w:p>
        </w:tc>
        <w:tc>
          <w:tcPr>
            <w:tcW w:w="1332" w:type="dxa"/>
          </w:tcPr>
          <w:p w14:paraId="2AB8ACB6" w14:textId="44D13AE5" w:rsidR="00353E89" w:rsidRPr="004432D9" w:rsidRDefault="00353E89" w:rsidP="004432D9">
            <w:pPr>
              <w:tabs>
                <w:tab w:val="decimal" w:pos="644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1</w:t>
            </w:r>
          </w:p>
        </w:tc>
        <w:tc>
          <w:tcPr>
            <w:tcW w:w="1126" w:type="dxa"/>
          </w:tcPr>
          <w:p w14:paraId="09C68CE6" w14:textId="29CD3F0E" w:rsidR="00353E89" w:rsidRPr="004432D9" w:rsidRDefault="00353E89" w:rsidP="004432D9">
            <w:pPr>
              <w:tabs>
                <w:tab w:val="decimal" w:pos="572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sz w:val="20"/>
                <w:szCs w:val="20"/>
              </w:rPr>
              <w:t>2</w:t>
            </w:r>
          </w:p>
        </w:tc>
        <w:tc>
          <w:tcPr>
            <w:tcW w:w="684" w:type="dxa"/>
          </w:tcPr>
          <w:p w14:paraId="211811AC" w14:textId="41F8CA16" w:rsidR="00353E89" w:rsidRPr="004432D9" w:rsidRDefault="00353E89" w:rsidP="004432D9">
            <w:pPr>
              <w:tabs>
                <w:tab w:val="decimal" w:pos="263"/>
              </w:tabs>
              <w:rPr>
                <w:rFonts w:ascii="Segoe UI" w:hAnsi="Segoe UI" w:cs="Segoe UI"/>
                <w:sz w:val="20"/>
                <w:szCs w:val="20"/>
              </w:rPr>
            </w:pPr>
            <w:r w:rsidRPr="004432D9">
              <w:rPr>
                <w:rFonts w:ascii="Segoe UI" w:eastAsia="Times New Roman" w:hAnsi="Segoe UI" w:cs="Segoe UI"/>
                <w:bCs/>
                <w:sz w:val="20"/>
                <w:szCs w:val="20"/>
              </w:rPr>
              <w:t>8.5</w:t>
            </w:r>
          </w:p>
        </w:tc>
      </w:tr>
    </w:tbl>
    <w:p w14:paraId="42A3409B" w14:textId="77777777" w:rsidR="00A91F0C" w:rsidRPr="004432D9" w:rsidRDefault="00A91F0C">
      <w:pPr>
        <w:rPr>
          <w:rFonts w:ascii="Segoe UI" w:hAnsi="Segoe UI" w:cs="Segoe UI"/>
        </w:rPr>
      </w:pPr>
    </w:p>
    <w:p w14:paraId="0BF25174" w14:textId="78FD22B3" w:rsidR="00A91F0C" w:rsidRPr="004432D9" w:rsidRDefault="00A819B9" w:rsidP="00E66FEE">
      <w:pPr>
        <w:spacing w:line="360" w:lineRule="auto"/>
        <w:rPr>
          <w:rFonts w:ascii="Segoe UI" w:hAnsi="Segoe UI" w:cs="Segoe UI"/>
        </w:rPr>
      </w:pPr>
      <w:r w:rsidRPr="004432D9">
        <w:rPr>
          <w:rFonts w:ascii="Segoe UI" w:hAnsi="Segoe UI" w:cs="Segoe UI"/>
          <w:b/>
          <w:bCs/>
        </w:rPr>
        <w:t xml:space="preserve">Table </w:t>
      </w:r>
      <w:r w:rsidR="00D70388">
        <w:rPr>
          <w:rFonts w:ascii="Segoe UI" w:hAnsi="Segoe UI" w:cs="Segoe UI"/>
          <w:b/>
          <w:bCs/>
        </w:rPr>
        <w:t>S</w:t>
      </w:r>
      <w:r w:rsidRPr="004432D9">
        <w:rPr>
          <w:rFonts w:ascii="Segoe UI" w:hAnsi="Segoe UI" w:cs="Segoe UI"/>
          <w:b/>
          <w:bCs/>
        </w:rPr>
        <w:t>1.</w:t>
      </w:r>
      <w:r w:rsidRPr="004432D9">
        <w:rPr>
          <w:rFonts w:ascii="Segoe UI" w:hAnsi="Segoe UI" w:cs="Segoe UI"/>
        </w:rPr>
        <w:t xml:space="preserve"> </w:t>
      </w:r>
      <w:r w:rsidR="00676F67" w:rsidRPr="004432D9">
        <w:rPr>
          <w:rFonts w:ascii="Segoe UI" w:hAnsi="Segoe UI" w:cs="Segoe UI"/>
        </w:rPr>
        <w:t>Histopathology score of proximal</w:t>
      </w:r>
      <w:r w:rsidR="00A03945" w:rsidRPr="004432D9">
        <w:rPr>
          <w:rFonts w:ascii="Segoe UI" w:hAnsi="Segoe UI" w:cs="Segoe UI"/>
        </w:rPr>
        <w:t xml:space="preserve"> </w:t>
      </w:r>
      <w:r w:rsidR="00676F67" w:rsidRPr="004432D9">
        <w:rPr>
          <w:rFonts w:ascii="Segoe UI" w:hAnsi="Segoe UI" w:cs="Segoe UI"/>
        </w:rPr>
        <w:t xml:space="preserve">colon from the 6 mice used for </w:t>
      </w:r>
      <w:r w:rsidR="00835BBD" w:rsidRPr="004432D9">
        <w:rPr>
          <w:rFonts w:ascii="Segoe UI" w:hAnsi="Segoe UI" w:cs="Segoe UI"/>
        </w:rPr>
        <w:t>RNA-</w:t>
      </w:r>
      <w:proofErr w:type="spellStart"/>
      <w:r w:rsidR="00835BBD" w:rsidRPr="004432D9">
        <w:rPr>
          <w:rFonts w:ascii="Segoe UI" w:hAnsi="Segoe UI" w:cs="Segoe UI"/>
        </w:rPr>
        <w:t>seq</w:t>
      </w:r>
      <w:proofErr w:type="spellEnd"/>
      <w:r w:rsidR="00835BBD" w:rsidRPr="004432D9">
        <w:rPr>
          <w:rFonts w:ascii="Segoe UI" w:hAnsi="Segoe UI" w:cs="Segoe UI"/>
        </w:rPr>
        <w:t xml:space="preserve"> and RRBS/</w:t>
      </w:r>
      <w:proofErr w:type="spellStart"/>
      <w:r w:rsidR="00835BBD" w:rsidRPr="004432D9">
        <w:rPr>
          <w:rFonts w:ascii="Segoe UI" w:hAnsi="Segoe UI" w:cs="Segoe UI"/>
        </w:rPr>
        <w:t>oxRRBS</w:t>
      </w:r>
      <w:proofErr w:type="spellEnd"/>
      <w:r w:rsidR="00835BBD" w:rsidRPr="004432D9">
        <w:rPr>
          <w:rFonts w:ascii="Segoe UI" w:hAnsi="Segoe UI" w:cs="Segoe UI"/>
        </w:rPr>
        <w:t xml:space="preserve"> </w:t>
      </w:r>
      <w:r w:rsidR="00676F67" w:rsidRPr="004432D9">
        <w:rPr>
          <w:rFonts w:ascii="Segoe UI" w:hAnsi="Segoe UI" w:cs="Segoe UI"/>
        </w:rPr>
        <w:t>analysis.</w:t>
      </w:r>
    </w:p>
    <w:p w14:paraId="47910E06" w14:textId="77777777" w:rsidR="00BF31B9" w:rsidRPr="004432D9" w:rsidRDefault="00BF31B9">
      <w:pPr>
        <w:rPr>
          <w:rFonts w:ascii="Segoe UI" w:hAnsi="Segoe UI" w:cs="Segoe UI"/>
        </w:rPr>
      </w:pPr>
    </w:p>
    <w:p w14:paraId="440B9156" w14:textId="77777777" w:rsidR="00930F27" w:rsidRPr="004432D9" w:rsidRDefault="00930F27">
      <w:pPr>
        <w:rPr>
          <w:rFonts w:ascii="Segoe UI" w:hAnsi="Segoe UI" w:cs="Segoe UI"/>
        </w:rPr>
      </w:pPr>
    </w:p>
    <w:p w14:paraId="500DA45D" w14:textId="77777777" w:rsidR="00F2255F" w:rsidRDefault="00F2255F" w:rsidP="00F2255F">
      <w:pPr>
        <w:rPr>
          <w:rFonts w:ascii="Segoe UI" w:hAnsi="Segoe UI" w:cs="Segoe UI"/>
          <w:b/>
          <w:noProof/>
        </w:rPr>
      </w:pPr>
      <w:r>
        <w:rPr>
          <w:rFonts w:ascii="Segoe UI" w:hAnsi="Segoe UI" w:cs="Segoe UI"/>
          <w:b/>
          <w:noProof/>
        </w:rPr>
        <w:br w:type="page"/>
      </w:r>
    </w:p>
    <w:p w14:paraId="36676AF6" w14:textId="77777777" w:rsidR="00F2255F" w:rsidRPr="004432D9" w:rsidRDefault="00F2255F" w:rsidP="00F2255F">
      <w:pPr>
        <w:rPr>
          <w:rFonts w:ascii="Segoe UI" w:hAnsi="Segoe UI" w:cs="Segoe UI"/>
        </w:rPr>
      </w:pPr>
    </w:p>
    <w:tbl>
      <w:tblPr>
        <w:tblStyle w:val="TableGrid"/>
        <w:tblW w:w="5000" w:type="pct"/>
        <w:tblLook w:val="04A0" w:firstRow="1" w:lastRow="0" w:firstColumn="1" w:lastColumn="0" w:noHBand="0" w:noVBand="1"/>
      </w:tblPr>
      <w:tblGrid>
        <w:gridCol w:w="999"/>
        <w:gridCol w:w="1929"/>
        <w:gridCol w:w="2419"/>
        <w:gridCol w:w="3288"/>
        <w:gridCol w:w="1435"/>
      </w:tblGrid>
      <w:tr w:rsidR="00F2255F" w:rsidRPr="000B10A4" w14:paraId="308AC85D" w14:textId="77777777" w:rsidTr="002B0123">
        <w:tc>
          <w:tcPr>
            <w:tcW w:w="999" w:type="dxa"/>
            <w:vAlign w:val="center"/>
          </w:tcPr>
          <w:p w14:paraId="387F3DC7" w14:textId="77777777" w:rsidR="00F2255F" w:rsidRPr="000B10A4" w:rsidRDefault="00F2255F" w:rsidP="002B0123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8"/>
              </w:rPr>
            </w:pPr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Gene</w:t>
            </w:r>
            <w:r>
              <w:rPr>
                <w:rFonts w:ascii="Segoe UI" w:hAnsi="Segoe UI" w:cs="Segoe UI"/>
                <w:b/>
                <w:color w:val="000000" w:themeColor="text1"/>
                <w:sz w:val="18"/>
              </w:rPr>
              <w:br/>
            </w:r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Name</w:t>
            </w:r>
          </w:p>
        </w:tc>
        <w:tc>
          <w:tcPr>
            <w:tcW w:w="1929" w:type="dxa"/>
            <w:vAlign w:val="center"/>
          </w:tcPr>
          <w:p w14:paraId="0471D00A" w14:textId="77777777" w:rsidR="00F2255F" w:rsidRPr="000B10A4" w:rsidRDefault="00F2255F" w:rsidP="002B0123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8"/>
              </w:rPr>
            </w:pPr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 xml:space="preserve">Protein </w:t>
            </w:r>
            <w:r>
              <w:rPr>
                <w:rFonts w:ascii="Segoe UI" w:hAnsi="Segoe UI" w:cs="Segoe UI"/>
                <w:b/>
                <w:color w:val="000000" w:themeColor="text1"/>
                <w:sz w:val="18"/>
              </w:rPr>
              <w:br/>
            </w:r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name</w:t>
            </w:r>
          </w:p>
        </w:tc>
        <w:tc>
          <w:tcPr>
            <w:tcW w:w="2419" w:type="dxa"/>
            <w:vAlign w:val="center"/>
          </w:tcPr>
          <w:p w14:paraId="1D46D3D2" w14:textId="77777777" w:rsidR="00F2255F" w:rsidRPr="000B10A4" w:rsidRDefault="00F2255F" w:rsidP="002B0123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8"/>
              </w:rPr>
            </w:pPr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Log2 fold change in gene expression (</w:t>
            </w:r>
            <w:proofErr w:type="spellStart"/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Trt</w:t>
            </w:r>
            <w:proofErr w:type="spellEnd"/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/</w:t>
            </w:r>
            <w:proofErr w:type="spellStart"/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ctl</w:t>
            </w:r>
            <w:proofErr w:type="spellEnd"/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)</w:t>
            </w:r>
          </w:p>
        </w:tc>
        <w:tc>
          <w:tcPr>
            <w:tcW w:w="3288" w:type="dxa"/>
            <w:vAlign w:val="center"/>
          </w:tcPr>
          <w:p w14:paraId="4138DE01" w14:textId="77777777" w:rsidR="00F2255F" w:rsidRPr="000B10A4" w:rsidRDefault="00F2255F" w:rsidP="002B0123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8"/>
              </w:rPr>
            </w:pPr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Methylation/</w:t>
            </w:r>
            <w:proofErr w:type="spellStart"/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Hydroxymethylation</w:t>
            </w:r>
            <w:proofErr w:type="spellEnd"/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 xml:space="preserve"> </w:t>
            </w:r>
            <w:r>
              <w:rPr>
                <w:rFonts w:ascii="Segoe UI" w:hAnsi="Segoe UI" w:cs="Segoe UI"/>
                <w:b/>
                <w:color w:val="000000" w:themeColor="text1"/>
                <w:sz w:val="18"/>
              </w:rPr>
              <w:br/>
            </w:r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change</w:t>
            </w:r>
          </w:p>
        </w:tc>
        <w:tc>
          <w:tcPr>
            <w:tcW w:w="1435" w:type="dxa"/>
            <w:vAlign w:val="center"/>
          </w:tcPr>
          <w:p w14:paraId="3DA9A77A" w14:textId="77777777" w:rsidR="00F2255F" w:rsidRPr="000B10A4" w:rsidRDefault="00F2255F" w:rsidP="002B0123">
            <w:pPr>
              <w:jc w:val="center"/>
              <w:rPr>
                <w:rFonts w:ascii="Segoe UI" w:hAnsi="Segoe UI" w:cs="Segoe UI"/>
                <w:b/>
                <w:color w:val="000000" w:themeColor="text1"/>
                <w:sz w:val="18"/>
              </w:rPr>
            </w:pPr>
            <w:r w:rsidRPr="000B10A4">
              <w:rPr>
                <w:rFonts w:ascii="Segoe UI" w:hAnsi="Segoe UI" w:cs="Segoe UI"/>
                <w:b/>
                <w:color w:val="000000" w:themeColor="text1"/>
                <w:sz w:val="18"/>
              </w:rPr>
              <w:t>Function</w:t>
            </w:r>
          </w:p>
        </w:tc>
      </w:tr>
      <w:tr w:rsidR="00F2255F" w:rsidRPr="004432D9" w14:paraId="2D32373D" w14:textId="77777777" w:rsidTr="002B0123">
        <w:tc>
          <w:tcPr>
            <w:tcW w:w="999" w:type="dxa"/>
            <w:vAlign w:val="center"/>
          </w:tcPr>
          <w:p w14:paraId="573577D8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proofErr w:type="spellStart"/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Prkch</w:t>
            </w:r>
            <w:proofErr w:type="spellEnd"/>
          </w:p>
        </w:tc>
        <w:tc>
          <w:tcPr>
            <w:tcW w:w="1929" w:type="dxa"/>
            <w:vAlign w:val="center"/>
          </w:tcPr>
          <w:p w14:paraId="39436E10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protein kinase C eta type</w:t>
            </w:r>
          </w:p>
        </w:tc>
        <w:tc>
          <w:tcPr>
            <w:tcW w:w="2419" w:type="dxa"/>
            <w:vAlign w:val="center"/>
          </w:tcPr>
          <w:p w14:paraId="6AE2386C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3.22</w:t>
            </w:r>
          </w:p>
        </w:tc>
        <w:tc>
          <w:tcPr>
            <w:tcW w:w="3288" w:type="dxa"/>
            <w:vAlign w:val="center"/>
          </w:tcPr>
          <w:p w14:paraId="039B748F" w14:textId="77777777" w:rsidR="00F2255F" w:rsidRPr="004432D9" w:rsidRDefault="00F2255F" w:rsidP="002B0123">
            <w:pPr>
              <w:jc w:val="center"/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hypomethylation</w:t>
            </w:r>
            <w:proofErr w:type="spellEnd"/>
          </w:p>
        </w:tc>
        <w:tc>
          <w:tcPr>
            <w:tcW w:w="1435" w:type="dxa"/>
            <w:vAlign w:val="center"/>
          </w:tcPr>
          <w:p w14:paraId="7DD34605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Protein Kinase</w:t>
            </w:r>
          </w:p>
        </w:tc>
      </w:tr>
      <w:tr w:rsidR="00F2255F" w:rsidRPr="004432D9" w14:paraId="7A140FF2" w14:textId="77777777" w:rsidTr="002B0123">
        <w:tc>
          <w:tcPr>
            <w:tcW w:w="999" w:type="dxa"/>
            <w:vAlign w:val="center"/>
          </w:tcPr>
          <w:p w14:paraId="7A7DD7BA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Tubb5</w:t>
            </w:r>
          </w:p>
        </w:tc>
        <w:tc>
          <w:tcPr>
            <w:tcW w:w="1929" w:type="dxa"/>
            <w:vAlign w:val="center"/>
          </w:tcPr>
          <w:p w14:paraId="48CA0018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Tubulin beta-5 chain</w:t>
            </w:r>
          </w:p>
        </w:tc>
        <w:tc>
          <w:tcPr>
            <w:tcW w:w="2419" w:type="dxa"/>
            <w:vAlign w:val="center"/>
          </w:tcPr>
          <w:p w14:paraId="08726693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1.27</w:t>
            </w:r>
          </w:p>
        </w:tc>
        <w:tc>
          <w:tcPr>
            <w:tcW w:w="3288" w:type="dxa"/>
            <w:vAlign w:val="center"/>
          </w:tcPr>
          <w:p w14:paraId="27D5BE51" w14:textId="77777777" w:rsidR="00F2255F" w:rsidRPr="004432D9" w:rsidRDefault="00F2255F" w:rsidP="002B0123">
            <w:pPr>
              <w:jc w:val="center"/>
              <w:rPr>
                <w:rFonts w:ascii="Segoe UI" w:eastAsia="Times New Roman" w:hAnsi="Segoe UI" w:cs="Segoe UI"/>
                <w:color w:val="000000" w:themeColor="text1"/>
                <w:sz w:val="18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hypomethylation</w:t>
            </w:r>
            <w:proofErr w:type="spellEnd"/>
          </w:p>
        </w:tc>
        <w:tc>
          <w:tcPr>
            <w:tcW w:w="1435" w:type="dxa"/>
            <w:vAlign w:val="center"/>
          </w:tcPr>
          <w:p w14:paraId="4DF2E3A5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</w:rPr>
              <w:t>Microtubules  constituent</w:t>
            </w:r>
          </w:p>
        </w:tc>
      </w:tr>
      <w:tr w:rsidR="00F2255F" w:rsidRPr="004432D9" w14:paraId="10F78802" w14:textId="77777777" w:rsidTr="002B0123">
        <w:tc>
          <w:tcPr>
            <w:tcW w:w="999" w:type="dxa"/>
            <w:vAlign w:val="center"/>
          </w:tcPr>
          <w:p w14:paraId="6EB4C367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Zmynd15</w:t>
            </w:r>
          </w:p>
        </w:tc>
        <w:tc>
          <w:tcPr>
            <w:tcW w:w="1929" w:type="dxa"/>
            <w:vAlign w:val="center"/>
          </w:tcPr>
          <w:p w14:paraId="27B93670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Zinc finger MYND domain-containing protein 15</w:t>
            </w:r>
          </w:p>
        </w:tc>
        <w:tc>
          <w:tcPr>
            <w:tcW w:w="2419" w:type="dxa"/>
            <w:vAlign w:val="center"/>
          </w:tcPr>
          <w:p w14:paraId="076A2F72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1.09</w:t>
            </w:r>
          </w:p>
        </w:tc>
        <w:tc>
          <w:tcPr>
            <w:tcW w:w="3288" w:type="dxa"/>
            <w:vAlign w:val="center"/>
          </w:tcPr>
          <w:p w14:paraId="0FAAEA34" w14:textId="77777777" w:rsidR="00F2255F" w:rsidRPr="004432D9" w:rsidRDefault="00F2255F" w:rsidP="002B0123">
            <w:pPr>
              <w:jc w:val="center"/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hypomethylation</w:t>
            </w:r>
            <w:proofErr w:type="spellEnd"/>
          </w:p>
        </w:tc>
        <w:tc>
          <w:tcPr>
            <w:tcW w:w="1435" w:type="dxa"/>
            <w:vAlign w:val="center"/>
          </w:tcPr>
          <w:p w14:paraId="2AE792CD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transcriptional repressor</w:t>
            </w:r>
          </w:p>
        </w:tc>
      </w:tr>
      <w:tr w:rsidR="00F2255F" w:rsidRPr="004432D9" w14:paraId="6C0BDEA2" w14:textId="77777777" w:rsidTr="002B0123">
        <w:trPr>
          <w:trHeight w:val="647"/>
        </w:trPr>
        <w:tc>
          <w:tcPr>
            <w:tcW w:w="999" w:type="dxa"/>
            <w:vAlign w:val="center"/>
          </w:tcPr>
          <w:p w14:paraId="03297DC9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Mvb12b</w:t>
            </w:r>
          </w:p>
        </w:tc>
        <w:tc>
          <w:tcPr>
            <w:tcW w:w="1929" w:type="dxa"/>
            <w:vAlign w:val="center"/>
          </w:tcPr>
          <w:p w14:paraId="69CB3F50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Multivesicular</w:t>
            </w:r>
            <w:proofErr w:type="spellEnd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 xml:space="preserve"> body subunit 12B</w:t>
            </w:r>
          </w:p>
        </w:tc>
        <w:tc>
          <w:tcPr>
            <w:tcW w:w="2419" w:type="dxa"/>
            <w:vAlign w:val="center"/>
          </w:tcPr>
          <w:p w14:paraId="3548E237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-1.84</w:t>
            </w:r>
          </w:p>
        </w:tc>
        <w:tc>
          <w:tcPr>
            <w:tcW w:w="3288" w:type="dxa"/>
            <w:vAlign w:val="center"/>
          </w:tcPr>
          <w:p w14:paraId="481B3604" w14:textId="77777777" w:rsidR="00F2255F" w:rsidRPr="004432D9" w:rsidRDefault="00F2255F" w:rsidP="002B0123">
            <w:pPr>
              <w:jc w:val="center"/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Hypomethylation</w:t>
            </w:r>
            <w:proofErr w:type="spellEnd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/</w:t>
            </w:r>
            <w: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br/>
            </w: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hypermethylation</w:t>
            </w:r>
            <w:proofErr w:type="spellEnd"/>
          </w:p>
        </w:tc>
        <w:tc>
          <w:tcPr>
            <w:tcW w:w="1435" w:type="dxa"/>
            <w:vAlign w:val="center"/>
          </w:tcPr>
          <w:p w14:paraId="56F40FB8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 xml:space="preserve">sorting of </w:t>
            </w: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ubiquitinated</w:t>
            </w:r>
            <w:proofErr w:type="spellEnd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 xml:space="preserve"> cargo protein</w:t>
            </w:r>
          </w:p>
        </w:tc>
      </w:tr>
      <w:tr w:rsidR="00F2255F" w:rsidRPr="004432D9" w14:paraId="4D828E2C" w14:textId="77777777" w:rsidTr="002B0123">
        <w:tc>
          <w:tcPr>
            <w:tcW w:w="999" w:type="dxa"/>
            <w:vAlign w:val="center"/>
          </w:tcPr>
          <w:p w14:paraId="1E68D00F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Efna3</w:t>
            </w:r>
          </w:p>
        </w:tc>
        <w:tc>
          <w:tcPr>
            <w:tcW w:w="1929" w:type="dxa"/>
            <w:vAlign w:val="center"/>
          </w:tcPr>
          <w:p w14:paraId="360295CF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Ephrin-A3</w:t>
            </w:r>
          </w:p>
        </w:tc>
        <w:tc>
          <w:tcPr>
            <w:tcW w:w="2419" w:type="dxa"/>
            <w:vAlign w:val="center"/>
          </w:tcPr>
          <w:p w14:paraId="1C39EF2F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-3.47</w:t>
            </w:r>
          </w:p>
        </w:tc>
        <w:tc>
          <w:tcPr>
            <w:tcW w:w="3288" w:type="dxa"/>
            <w:vAlign w:val="center"/>
          </w:tcPr>
          <w:p w14:paraId="75998E66" w14:textId="77777777" w:rsidR="00F2255F" w:rsidRPr="004432D9" w:rsidRDefault="00F2255F" w:rsidP="002B0123">
            <w:pPr>
              <w:jc w:val="center"/>
              <w:rPr>
                <w:rFonts w:ascii="Segoe UI" w:hAnsi="Segoe UI" w:cs="Segoe UI"/>
                <w:color w:val="000000" w:themeColor="text1"/>
                <w:sz w:val="18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hypomethylation</w:t>
            </w:r>
            <w:proofErr w:type="spellEnd"/>
          </w:p>
        </w:tc>
        <w:tc>
          <w:tcPr>
            <w:tcW w:w="1435" w:type="dxa"/>
            <w:vAlign w:val="center"/>
          </w:tcPr>
          <w:p w14:paraId="1EF8E554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Ligand of EPH receptor</w:t>
            </w:r>
          </w:p>
        </w:tc>
      </w:tr>
      <w:tr w:rsidR="00F2255F" w:rsidRPr="004432D9" w14:paraId="24359298" w14:textId="77777777" w:rsidTr="002B0123">
        <w:tc>
          <w:tcPr>
            <w:tcW w:w="999" w:type="dxa"/>
            <w:vAlign w:val="center"/>
          </w:tcPr>
          <w:p w14:paraId="249512D7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Tmcc3</w:t>
            </w:r>
          </w:p>
        </w:tc>
        <w:tc>
          <w:tcPr>
            <w:tcW w:w="1929" w:type="dxa"/>
            <w:vAlign w:val="center"/>
          </w:tcPr>
          <w:p w14:paraId="06008851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Transmembrane and coiled-coil domain protein 3</w:t>
            </w:r>
          </w:p>
        </w:tc>
        <w:tc>
          <w:tcPr>
            <w:tcW w:w="2419" w:type="dxa"/>
            <w:vAlign w:val="center"/>
          </w:tcPr>
          <w:p w14:paraId="5D7A4678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1.13</w:t>
            </w:r>
          </w:p>
        </w:tc>
        <w:tc>
          <w:tcPr>
            <w:tcW w:w="3288" w:type="dxa"/>
            <w:vAlign w:val="center"/>
          </w:tcPr>
          <w:p w14:paraId="36EE4887" w14:textId="77777777" w:rsidR="00F2255F" w:rsidRPr="004432D9" w:rsidRDefault="00F2255F" w:rsidP="002B0123">
            <w:pPr>
              <w:jc w:val="center"/>
              <w:rPr>
                <w:rFonts w:ascii="Segoe UI" w:hAnsi="Segoe UI" w:cs="Segoe UI"/>
                <w:color w:val="000000" w:themeColor="text1"/>
                <w:sz w:val="18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hypohydroxymethylation</w:t>
            </w:r>
            <w:proofErr w:type="spellEnd"/>
          </w:p>
        </w:tc>
        <w:tc>
          <w:tcPr>
            <w:tcW w:w="1435" w:type="dxa"/>
            <w:vAlign w:val="center"/>
          </w:tcPr>
          <w:p w14:paraId="6E614233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Unknown</w:t>
            </w:r>
          </w:p>
        </w:tc>
      </w:tr>
      <w:tr w:rsidR="00F2255F" w:rsidRPr="004432D9" w14:paraId="26732265" w14:textId="77777777" w:rsidTr="002B0123">
        <w:tc>
          <w:tcPr>
            <w:tcW w:w="999" w:type="dxa"/>
            <w:vAlign w:val="center"/>
          </w:tcPr>
          <w:p w14:paraId="364592A2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Katnb1</w:t>
            </w:r>
          </w:p>
        </w:tc>
        <w:tc>
          <w:tcPr>
            <w:tcW w:w="1929" w:type="dxa"/>
            <w:vAlign w:val="center"/>
          </w:tcPr>
          <w:p w14:paraId="26171A48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Katanin</w:t>
            </w:r>
            <w:proofErr w:type="spellEnd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 xml:space="preserve"> p80 WD40 repeat-containing subunit B1, </w:t>
            </w: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Katanin</w:t>
            </w:r>
            <w:proofErr w:type="spellEnd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 xml:space="preserve"> p80 subunit B1</w:t>
            </w:r>
          </w:p>
        </w:tc>
        <w:tc>
          <w:tcPr>
            <w:tcW w:w="2419" w:type="dxa"/>
            <w:vAlign w:val="center"/>
          </w:tcPr>
          <w:p w14:paraId="5F58164B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-1.25</w:t>
            </w:r>
          </w:p>
        </w:tc>
        <w:tc>
          <w:tcPr>
            <w:tcW w:w="3288" w:type="dxa"/>
            <w:vAlign w:val="center"/>
          </w:tcPr>
          <w:p w14:paraId="515C28CA" w14:textId="77777777" w:rsidR="00F2255F" w:rsidRPr="004432D9" w:rsidRDefault="00F2255F" w:rsidP="002B0123">
            <w:pPr>
              <w:jc w:val="center"/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hypohydroxymethylation</w:t>
            </w:r>
            <w:proofErr w:type="spellEnd"/>
          </w:p>
        </w:tc>
        <w:tc>
          <w:tcPr>
            <w:tcW w:w="1435" w:type="dxa"/>
            <w:vAlign w:val="center"/>
          </w:tcPr>
          <w:p w14:paraId="5795BCA6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Centrosome targeting</w:t>
            </w:r>
          </w:p>
        </w:tc>
      </w:tr>
      <w:tr w:rsidR="00F2255F" w:rsidRPr="004432D9" w14:paraId="50D4AC17" w14:textId="77777777" w:rsidTr="002B0123">
        <w:tc>
          <w:tcPr>
            <w:tcW w:w="999" w:type="dxa"/>
            <w:vAlign w:val="center"/>
          </w:tcPr>
          <w:p w14:paraId="29FB3A5C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Pacsin1</w:t>
            </w:r>
          </w:p>
        </w:tc>
        <w:tc>
          <w:tcPr>
            <w:tcW w:w="1929" w:type="dxa"/>
            <w:vAlign w:val="center"/>
          </w:tcPr>
          <w:p w14:paraId="25FAA1B5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Protein kinase C and casein kinase substrate in neurons protein 1</w:t>
            </w:r>
          </w:p>
        </w:tc>
        <w:tc>
          <w:tcPr>
            <w:tcW w:w="2419" w:type="dxa"/>
            <w:vAlign w:val="center"/>
          </w:tcPr>
          <w:p w14:paraId="1B1A5EC5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-1.09</w:t>
            </w:r>
          </w:p>
        </w:tc>
        <w:tc>
          <w:tcPr>
            <w:tcW w:w="3288" w:type="dxa"/>
            <w:vAlign w:val="center"/>
          </w:tcPr>
          <w:p w14:paraId="5DB26004" w14:textId="77777777" w:rsidR="00F2255F" w:rsidRPr="004432D9" w:rsidRDefault="00F2255F" w:rsidP="002B0123">
            <w:pPr>
              <w:jc w:val="center"/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hyperhydroxymethlation</w:t>
            </w:r>
            <w:proofErr w:type="spellEnd"/>
          </w:p>
        </w:tc>
        <w:tc>
          <w:tcPr>
            <w:tcW w:w="1435" w:type="dxa"/>
            <w:vAlign w:val="center"/>
          </w:tcPr>
          <w:p w14:paraId="1F1A58FD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microtubule reorganization</w:t>
            </w:r>
          </w:p>
        </w:tc>
      </w:tr>
      <w:tr w:rsidR="00F2255F" w:rsidRPr="004432D9" w14:paraId="77F47DB6" w14:textId="77777777" w:rsidTr="002B0123">
        <w:tc>
          <w:tcPr>
            <w:tcW w:w="999" w:type="dxa"/>
            <w:vAlign w:val="center"/>
          </w:tcPr>
          <w:p w14:paraId="09DAC174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Commd1</w:t>
            </w:r>
          </w:p>
        </w:tc>
        <w:tc>
          <w:tcPr>
            <w:tcW w:w="1929" w:type="dxa"/>
            <w:vAlign w:val="center"/>
          </w:tcPr>
          <w:p w14:paraId="283C437A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COMM domain-containing protein 1</w:t>
            </w:r>
          </w:p>
        </w:tc>
        <w:tc>
          <w:tcPr>
            <w:tcW w:w="2419" w:type="dxa"/>
            <w:vAlign w:val="center"/>
          </w:tcPr>
          <w:p w14:paraId="2AF56BF9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-1.87</w:t>
            </w:r>
          </w:p>
        </w:tc>
        <w:tc>
          <w:tcPr>
            <w:tcW w:w="3288" w:type="dxa"/>
            <w:vAlign w:val="center"/>
          </w:tcPr>
          <w:p w14:paraId="243C0254" w14:textId="77777777" w:rsidR="00F2255F" w:rsidRPr="004432D9" w:rsidRDefault="00F2255F" w:rsidP="002B0123">
            <w:pPr>
              <w:jc w:val="center"/>
              <w:rPr>
                <w:rFonts w:ascii="Segoe UI" w:eastAsia="Times New Roman" w:hAnsi="Segoe UI" w:cs="Segoe UI"/>
                <w:color w:val="000000" w:themeColor="text1"/>
                <w:sz w:val="18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hyperhydroxymethlation</w:t>
            </w:r>
            <w:proofErr w:type="spellEnd"/>
          </w:p>
        </w:tc>
        <w:tc>
          <w:tcPr>
            <w:tcW w:w="1435" w:type="dxa"/>
            <w:vAlign w:val="center"/>
          </w:tcPr>
          <w:p w14:paraId="2D32264F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</w:rPr>
              <w:t>Metabolism Regulation</w:t>
            </w:r>
          </w:p>
        </w:tc>
      </w:tr>
      <w:tr w:rsidR="00F2255F" w:rsidRPr="004432D9" w14:paraId="7F3E6997" w14:textId="77777777" w:rsidTr="002B0123">
        <w:tc>
          <w:tcPr>
            <w:tcW w:w="999" w:type="dxa"/>
            <w:vAlign w:val="center"/>
          </w:tcPr>
          <w:p w14:paraId="7987A739" w14:textId="77777777" w:rsidR="00F2255F" w:rsidRPr="004432D9" w:rsidRDefault="00F2255F" w:rsidP="002B0123">
            <w:pPr>
              <w:rPr>
                <w:rFonts w:ascii="Segoe UI" w:hAnsi="Segoe UI" w:cs="Segoe UI"/>
                <w:color w:val="000000" w:themeColor="text1"/>
                <w:sz w:val="18"/>
              </w:rPr>
            </w:pPr>
            <w:proofErr w:type="spellStart"/>
            <w:r w:rsidRPr="004432D9">
              <w:rPr>
                <w:rFonts w:ascii="Segoe UI" w:hAnsi="Segoe UI" w:cs="Segoe UI"/>
                <w:color w:val="000000" w:themeColor="text1"/>
                <w:sz w:val="18"/>
              </w:rPr>
              <w:t>Selenop</w:t>
            </w:r>
            <w:proofErr w:type="spellEnd"/>
          </w:p>
        </w:tc>
        <w:tc>
          <w:tcPr>
            <w:tcW w:w="1929" w:type="dxa"/>
            <w:vAlign w:val="center"/>
          </w:tcPr>
          <w:p w14:paraId="64273C80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Selenoprotein</w:t>
            </w:r>
            <w:proofErr w:type="spellEnd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 xml:space="preserve"> P, </w:t>
            </w: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SeP</w:t>
            </w:r>
            <w:proofErr w:type="spellEnd"/>
          </w:p>
        </w:tc>
        <w:tc>
          <w:tcPr>
            <w:tcW w:w="2419" w:type="dxa"/>
            <w:vAlign w:val="center"/>
          </w:tcPr>
          <w:p w14:paraId="5048F203" w14:textId="77777777" w:rsidR="00F2255F" w:rsidRPr="004432D9" w:rsidRDefault="00F2255F" w:rsidP="002B0123">
            <w:pPr>
              <w:tabs>
                <w:tab w:val="decimal" w:pos="1006"/>
              </w:tabs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-1.81</w:t>
            </w:r>
          </w:p>
        </w:tc>
        <w:tc>
          <w:tcPr>
            <w:tcW w:w="3288" w:type="dxa"/>
            <w:vAlign w:val="center"/>
          </w:tcPr>
          <w:p w14:paraId="19792C11" w14:textId="77777777" w:rsidR="00F2255F" w:rsidRPr="004432D9" w:rsidRDefault="00F2255F" w:rsidP="002B0123">
            <w:pPr>
              <w:jc w:val="center"/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proofErr w:type="spellStart"/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hyperhydroxymethlation</w:t>
            </w:r>
            <w:proofErr w:type="spellEnd"/>
          </w:p>
        </w:tc>
        <w:tc>
          <w:tcPr>
            <w:tcW w:w="1435" w:type="dxa"/>
            <w:vAlign w:val="center"/>
          </w:tcPr>
          <w:p w14:paraId="589C4CE2" w14:textId="77777777" w:rsidR="00F2255F" w:rsidRPr="004432D9" w:rsidRDefault="00F2255F" w:rsidP="002B0123">
            <w:pPr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</w:pPr>
            <w:r w:rsidRPr="004432D9">
              <w:rPr>
                <w:rFonts w:ascii="Segoe UI" w:eastAsia="Times New Roman" w:hAnsi="Segoe UI" w:cs="Segoe UI"/>
                <w:color w:val="000000" w:themeColor="text1"/>
                <w:sz w:val="18"/>
                <w:shd w:val="clear" w:color="auto" w:fill="FFFFFF"/>
              </w:rPr>
              <w:t>Se transporter protein</w:t>
            </w:r>
          </w:p>
        </w:tc>
      </w:tr>
    </w:tbl>
    <w:p w14:paraId="1865D0DA" w14:textId="77777777" w:rsidR="00F2255F" w:rsidRPr="004432D9" w:rsidRDefault="00F2255F" w:rsidP="00F2255F">
      <w:pPr>
        <w:rPr>
          <w:rFonts w:ascii="Segoe UI" w:hAnsi="Segoe UI" w:cs="Segoe UI"/>
          <w:b/>
          <w:bCs/>
        </w:rPr>
      </w:pPr>
    </w:p>
    <w:p w14:paraId="1509EC93" w14:textId="77777777" w:rsidR="00F2255F" w:rsidRPr="00ED75C8" w:rsidRDefault="00F2255F" w:rsidP="00F2255F">
      <w:pPr>
        <w:spacing w:line="360" w:lineRule="auto"/>
        <w:rPr>
          <w:rFonts w:ascii="Segoe UI" w:hAnsi="Segoe UI" w:cs="Times New Roman"/>
          <w:bCs/>
          <w:szCs w:val="22"/>
        </w:rPr>
      </w:pPr>
      <w:r w:rsidRPr="00ED75C8">
        <w:rPr>
          <w:rFonts w:ascii="Segoe UI" w:hAnsi="Segoe UI" w:cs="Segoe UI"/>
          <w:b/>
          <w:bCs/>
        </w:rPr>
        <w:t xml:space="preserve">Table </w:t>
      </w:r>
      <w:r>
        <w:rPr>
          <w:rFonts w:ascii="Segoe UI" w:hAnsi="Segoe UI" w:cs="Segoe UI"/>
          <w:b/>
          <w:bCs/>
        </w:rPr>
        <w:t>S2</w:t>
      </w:r>
      <w:r w:rsidRPr="00ED75C8">
        <w:rPr>
          <w:rFonts w:ascii="Segoe UI" w:hAnsi="Segoe UI" w:cs="Segoe UI"/>
          <w:b/>
          <w:bCs/>
        </w:rPr>
        <w:t>.</w:t>
      </w:r>
      <w:r w:rsidRPr="00ED75C8">
        <w:rPr>
          <w:rFonts w:ascii="Segoe UI" w:hAnsi="Segoe UI" w:cs="Segoe UI"/>
        </w:rPr>
        <w:t xml:space="preserve"> </w:t>
      </w:r>
      <w:r w:rsidRPr="00ED75C8">
        <w:rPr>
          <w:rFonts w:ascii="Segoe UI" w:hAnsi="Segoe UI" w:cs="Times New Roman"/>
          <w:bCs/>
          <w:szCs w:val="22"/>
        </w:rPr>
        <w:t>Epigenetically deregulated genes in the IBD-CRC mouse model which are both differentially expressed and differentially methylated/</w:t>
      </w:r>
      <w:proofErr w:type="spellStart"/>
      <w:r w:rsidRPr="00ED75C8">
        <w:rPr>
          <w:rFonts w:ascii="Segoe UI" w:hAnsi="Segoe UI" w:cs="Times New Roman"/>
          <w:bCs/>
          <w:szCs w:val="22"/>
        </w:rPr>
        <w:t>hydroxymethylated</w:t>
      </w:r>
      <w:proofErr w:type="spellEnd"/>
      <w:r w:rsidRPr="00ED75C8">
        <w:rPr>
          <w:rFonts w:ascii="Segoe UI" w:hAnsi="Segoe UI" w:cs="Times New Roman"/>
          <w:bCs/>
          <w:szCs w:val="22"/>
        </w:rPr>
        <w:t>. These genes are specifically highlighted as they have not been well studied in CRC previously and deserves further investigation.</w:t>
      </w:r>
    </w:p>
    <w:p w14:paraId="22145388" w14:textId="00D55E34" w:rsidR="00A03945" w:rsidRPr="004432D9" w:rsidRDefault="00A03945">
      <w:pPr>
        <w:rPr>
          <w:rFonts w:ascii="Segoe UI" w:hAnsi="Segoe UI" w:cs="Segoe UI"/>
          <w:bCs/>
          <w:sz w:val="18"/>
          <w:szCs w:val="18"/>
        </w:rPr>
      </w:pPr>
    </w:p>
    <w:p w14:paraId="148BA38C" w14:textId="768FEA7E" w:rsidR="004432D9" w:rsidRDefault="004432D9">
      <w:pPr>
        <w:rPr>
          <w:rFonts w:ascii="Segoe UI" w:hAnsi="Segoe UI" w:cs="Segoe UI"/>
          <w:b/>
          <w:sz w:val="18"/>
          <w:szCs w:val="18"/>
        </w:rPr>
      </w:pPr>
      <w:r>
        <w:rPr>
          <w:rFonts w:ascii="Segoe UI" w:hAnsi="Segoe UI" w:cs="Segoe UI"/>
          <w:b/>
          <w:sz w:val="18"/>
          <w:szCs w:val="18"/>
        </w:rPr>
        <w:br w:type="page"/>
      </w:r>
    </w:p>
    <w:p w14:paraId="0783FF7E" w14:textId="11F736F7" w:rsidR="00BF31B9" w:rsidRDefault="00BF31B9">
      <w:pPr>
        <w:rPr>
          <w:rFonts w:ascii="Segoe UI" w:hAnsi="Segoe UI" w:cs="Segoe UI"/>
        </w:rPr>
      </w:pPr>
    </w:p>
    <w:p w14:paraId="5FB81660" w14:textId="29117EBB" w:rsidR="000F7150" w:rsidRPr="004432D9" w:rsidRDefault="00F2255F" w:rsidP="000F7150">
      <w:pPr>
        <w:rPr>
          <w:rFonts w:ascii="Segoe UI" w:hAnsi="Segoe UI" w:cs="Segoe UI"/>
        </w:rPr>
      </w:pPr>
      <w:r>
        <w:rPr>
          <w:rFonts w:ascii="Segoe UI" w:hAnsi="Segoe UI" w:cs="Segoe UI"/>
        </w:rPr>
        <w:pict w14:anchorId="4E5CAD0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9.8pt;height:344.2pt">
            <v:imagedata r:id="rId4" o:title="figS01"/>
          </v:shape>
        </w:pict>
      </w:r>
    </w:p>
    <w:p w14:paraId="7DBC4C2C" w14:textId="7043CE8D" w:rsidR="004432D9" w:rsidRDefault="004432D9">
      <w:pPr>
        <w:rPr>
          <w:rFonts w:ascii="Segoe UI" w:hAnsi="Segoe UI" w:cs="Segoe UI"/>
        </w:rPr>
      </w:pPr>
    </w:p>
    <w:p w14:paraId="7457F6AD" w14:textId="77777777" w:rsidR="00ED75C8" w:rsidRPr="004432D9" w:rsidRDefault="00ED75C8">
      <w:pPr>
        <w:rPr>
          <w:rFonts w:ascii="Segoe UI" w:hAnsi="Segoe UI" w:cs="Segoe UI"/>
        </w:rPr>
      </w:pPr>
    </w:p>
    <w:p w14:paraId="78AE08B5" w14:textId="1299F718" w:rsidR="004432D9" w:rsidRPr="004432D9" w:rsidRDefault="008C4FCC" w:rsidP="00E66FEE">
      <w:pPr>
        <w:spacing w:line="360" w:lineRule="auto"/>
        <w:rPr>
          <w:rFonts w:ascii="Segoe UI" w:hAnsi="Segoe UI" w:cs="Segoe UI"/>
          <w:noProof/>
        </w:rPr>
      </w:pPr>
      <w:r w:rsidRPr="004432D9">
        <w:rPr>
          <w:rFonts w:ascii="Segoe UI" w:hAnsi="Segoe UI" w:cs="Segoe UI"/>
          <w:b/>
        </w:rPr>
        <w:t>Figure</w:t>
      </w:r>
      <w:r w:rsidR="00962B9D">
        <w:rPr>
          <w:rFonts w:ascii="Segoe UI" w:hAnsi="Segoe UI" w:cs="Segoe UI"/>
          <w:b/>
        </w:rPr>
        <w:t xml:space="preserve"> </w:t>
      </w:r>
      <w:r w:rsidR="00D70388">
        <w:rPr>
          <w:rFonts w:ascii="Segoe UI" w:hAnsi="Segoe UI" w:cs="Segoe UI"/>
          <w:b/>
        </w:rPr>
        <w:t>S</w:t>
      </w:r>
      <w:r w:rsidRPr="004432D9">
        <w:rPr>
          <w:rFonts w:ascii="Segoe UI" w:hAnsi="Segoe UI" w:cs="Segoe UI"/>
          <w:b/>
        </w:rPr>
        <w:t xml:space="preserve">1. </w:t>
      </w:r>
      <w:r w:rsidR="00BF31B9" w:rsidRPr="004432D9">
        <w:rPr>
          <w:rFonts w:ascii="Segoe UI" w:hAnsi="Segoe UI" w:cs="Segoe UI"/>
          <w:noProof/>
        </w:rPr>
        <w:t>MDS plot of site specific 5mC profiling showed a clear sep</w:t>
      </w:r>
      <w:r w:rsidR="00E66FEE">
        <w:rPr>
          <w:rFonts w:ascii="Segoe UI" w:hAnsi="Segoe UI" w:cs="Segoe UI"/>
          <w:noProof/>
        </w:rPr>
        <w:t>a</w:t>
      </w:r>
      <w:r w:rsidR="00BF31B9" w:rsidRPr="004432D9">
        <w:rPr>
          <w:rFonts w:ascii="Segoe UI" w:hAnsi="Segoe UI" w:cs="Segoe UI"/>
          <w:noProof/>
        </w:rPr>
        <w:t>ration between control and IBD mice</w:t>
      </w:r>
      <w:r w:rsidR="00E66FEE">
        <w:rPr>
          <w:rFonts w:ascii="Segoe UI" w:hAnsi="Segoe UI" w:cs="Segoe UI"/>
          <w:noProof/>
        </w:rPr>
        <w:t>.</w:t>
      </w:r>
    </w:p>
    <w:p w14:paraId="7861706D" w14:textId="77777777" w:rsidR="00115FFB" w:rsidRDefault="00115FFB">
      <w:pPr>
        <w:rPr>
          <w:rFonts w:ascii="Segoe UI" w:hAnsi="Segoe UI" w:cs="Segoe UI"/>
          <w:noProof/>
        </w:rPr>
      </w:pPr>
    </w:p>
    <w:p w14:paraId="399D5ADC" w14:textId="77777777" w:rsidR="00F2255F" w:rsidRPr="00ED75C8" w:rsidRDefault="00F2255F" w:rsidP="00F2255F">
      <w:pPr>
        <w:spacing w:line="360" w:lineRule="auto"/>
        <w:rPr>
          <w:rFonts w:ascii="Segoe UI" w:hAnsi="Segoe UI" w:cs="Segoe UI"/>
        </w:rPr>
      </w:pPr>
    </w:p>
    <w:p w14:paraId="1F535F3D" w14:textId="64B373B9" w:rsidR="00F2255F" w:rsidRDefault="00F2255F">
      <w:pPr>
        <w:rPr>
          <w:rFonts w:ascii="Segoe UI" w:hAnsi="Segoe UI" w:cs="Segoe UI"/>
          <w:b/>
          <w:noProof/>
        </w:rPr>
      </w:pPr>
      <w:r>
        <w:rPr>
          <w:rFonts w:ascii="Segoe UI" w:hAnsi="Segoe UI" w:cs="Segoe UI"/>
          <w:b/>
          <w:noProof/>
        </w:rPr>
        <w:br w:type="page"/>
      </w:r>
    </w:p>
    <w:p w14:paraId="536B7D30" w14:textId="77777777" w:rsidR="00F2255F" w:rsidRDefault="00F2255F">
      <w:pPr>
        <w:rPr>
          <w:rFonts w:ascii="Segoe UI" w:hAnsi="Segoe UI" w:cs="Segoe UI"/>
          <w:b/>
          <w:noProof/>
        </w:rPr>
      </w:pPr>
    </w:p>
    <w:p w14:paraId="5590264E" w14:textId="5CADF6B3" w:rsidR="000F7150" w:rsidRDefault="000F7150">
      <w:pPr>
        <w:rPr>
          <w:rFonts w:ascii="Segoe UI" w:hAnsi="Segoe UI" w:cs="Segoe UI"/>
          <w:b/>
          <w:noProof/>
        </w:rPr>
      </w:pPr>
      <w:r w:rsidRPr="001512DD">
        <w:rPr>
          <w:rFonts w:ascii="Segoe UI" w:hAnsi="Segoe UI" w:cs="Segoe UI"/>
          <w:b/>
          <w:noProof/>
        </w:rPr>
        <w:drawing>
          <wp:inline distT="0" distB="0" distL="0" distR="0" wp14:anchorId="0269AF19" wp14:editId="2B6F020A">
            <wp:extent cx="4579620" cy="4358640"/>
            <wp:effectExtent l="0" t="0" r="0" b="3810"/>
            <wp:docPr id="2" name="Picture 2" descr="C:\Users\CARLS307\AppData\Local\Microsoft\Windows\INetCache\Content.Word\figS02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8" descr="C:\Users\CARLS307\AppData\Local\Microsoft\Windows\INetCache\Content.Word\figS02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9620" cy="43586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40E3331" w14:textId="77777777" w:rsidR="000F7150" w:rsidRDefault="000F7150">
      <w:pPr>
        <w:rPr>
          <w:rFonts w:ascii="Segoe UI" w:hAnsi="Segoe UI" w:cs="Segoe UI"/>
          <w:b/>
          <w:noProof/>
        </w:rPr>
      </w:pPr>
      <w:bookmarkStart w:id="0" w:name="_GoBack"/>
      <w:bookmarkEnd w:id="0"/>
    </w:p>
    <w:p w14:paraId="0CF7798A" w14:textId="77777777" w:rsidR="000F7150" w:rsidRDefault="000F7150">
      <w:pPr>
        <w:rPr>
          <w:rFonts w:ascii="Segoe UI" w:hAnsi="Segoe UI" w:cs="Segoe UI"/>
          <w:b/>
          <w:noProof/>
        </w:rPr>
      </w:pPr>
    </w:p>
    <w:p w14:paraId="3986838A" w14:textId="161A6092" w:rsidR="004432D9" w:rsidRPr="004432D9" w:rsidRDefault="00115FFB">
      <w:pPr>
        <w:rPr>
          <w:rFonts w:ascii="Segoe UI" w:hAnsi="Segoe UI" w:cs="Segoe UI"/>
          <w:noProof/>
        </w:rPr>
      </w:pPr>
      <w:r w:rsidRPr="000F7150">
        <w:rPr>
          <w:rFonts w:ascii="Segoe UI" w:hAnsi="Segoe UI" w:cs="Segoe UI"/>
          <w:b/>
          <w:noProof/>
        </w:rPr>
        <w:t>Figure S2.</w:t>
      </w:r>
      <w:r>
        <w:rPr>
          <w:rFonts w:ascii="Segoe UI" w:hAnsi="Segoe UI" w:cs="Segoe UI"/>
          <w:noProof/>
        </w:rPr>
        <w:t xml:space="preserve"> MDS plot of site specific 5hmC profiling in control and IBD mice.</w:t>
      </w:r>
      <w:r w:rsidR="004432D9" w:rsidRPr="004432D9">
        <w:rPr>
          <w:rFonts w:ascii="Segoe UI" w:hAnsi="Segoe UI" w:cs="Segoe UI"/>
          <w:noProof/>
        </w:rPr>
        <w:br w:type="page"/>
      </w:r>
    </w:p>
    <w:p w14:paraId="1970AB77" w14:textId="30FC3B4B" w:rsidR="00BF31B9" w:rsidRPr="004432D9" w:rsidRDefault="00F2255F" w:rsidP="00BF31B9">
      <w:pPr>
        <w:jc w:val="both"/>
        <w:rPr>
          <w:rFonts w:ascii="Segoe UI" w:hAnsi="Segoe UI" w:cs="Segoe UI"/>
          <w:b/>
        </w:rPr>
      </w:pPr>
      <w:r>
        <w:rPr>
          <w:rFonts w:ascii="Segoe UI" w:hAnsi="Segoe UI" w:cs="Segoe UI"/>
          <w:b/>
          <w:noProof/>
        </w:rPr>
        <w:lastRenderedPageBreak/>
        <w:pict w14:anchorId="13C0B604">
          <v:shape id="_x0000_i1026" type="#_x0000_t75" alt="" style="width:391.65pt;height:348pt;mso-width-percent:0;mso-height-percent:0;mso-width-percent:0;mso-height-percent:0">
            <v:imagedata r:id="rId6" o:title="fig04-supp01"/>
          </v:shape>
        </w:pict>
      </w:r>
    </w:p>
    <w:p w14:paraId="73EF5FD0" w14:textId="4D319336" w:rsidR="00BF31B9" w:rsidRDefault="00BF31B9">
      <w:pPr>
        <w:rPr>
          <w:rFonts w:ascii="Segoe UI" w:hAnsi="Segoe UI" w:cs="Segoe UI"/>
        </w:rPr>
      </w:pPr>
    </w:p>
    <w:p w14:paraId="01E95A8F" w14:textId="77777777" w:rsidR="00ED75C8" w:rsidRPr="004432D9" w:rsidRDefault="00ED75C8">
      <w:pPr>
        <w:rPr>
          <w:rFonts w:ascii="Segoe UI" w:hAnsi="Segoe UI" w:cs="Segoe UI"/>
        </w:rPr>
      </w:pPr>
    </w:p>
    <w:p w14:paraId="06C8AF6C" w14:textId="342960AB" w:rsidR="004432D9" w:rsidRPr="004432D9" w:rsidRDefault="008C4FCC" w:rsidP="00E66FEE">
      <w:pPr>
        <w:spacing w:line="360" w:lineRule="auto"/>
        <w:rPr>
          <w:rFonts w:ascii="Segoe UI" w:hAnsi="Segoe UI" w:cs="Segoe UI"/>
          <w:noProof/>
        </w:rPr>
      </w:pPr>
      <w:r w:rsidRPr="004432D9">
        <w:rPr>
          <w:rFonts w:ascii="Segoe UI" w:hAnsi="Segoe UI" w:cs="Segoe UI"/>
          <w:b/>
          <w:bCs/>
        </w:rPr>
        <w:t>Figure</w:t>
      </w:r>
      <w:r w:rsidR="00962B9D">
        <w:rPr>
          <w:rFonts w:ascii="Segoe UI" w:hAnsi="Segoe UI" w:cs="Segoe UI"/>
          <w:b/>
          <w:bCs/>
        </w:rPr>
        <w:t xml:space="preserve"> </w:t>
      </w:r>
      <w:r w:rsidR="00D70388">
        <w:rPr>
          <w:rFonts w:ascii="Segoe UI" w:hAnsi="Segoe UI" w:cs="Segoe UI"/>
          <w:b/>
          <w:bCs/>
        </w:rPr>
        <w:t>S</w:t>
      </w:r>
      <w:r w:rsidR="00AA6DEA">
        <w:rPr>
          <w:rFonts w:ascii="Segoe UI" w:hAnsi="Segoe UI" w:cs="Segoe UI"/>
          <w:b/>
          <w:bCs/>
        </w:rPr>
        <w:t>3</w:t>
      </w:r>
      <w:r w:rsidRPr="004432D9">
        <w:rPr>
          <w:rFonts w:ascii="Segoe UI" w:hAnsi="Segoe UI" w:cs="Segoe UI"/>
          <w:b/>
          <w:bCs/>
        </w:rPr>
        <w:t>.</w:t>
      </w:r>
      <w:r>
        <w:rPr>
          <w:rFonts w:ascii="Segoe UI" w:hAnsi="Segoe UI" w:cs="Segoe UI"/>
          <w:b/>
          <w:bCs/>
        </w:rPr>
        <w:t xml:space="preserve"> </w:t>
      </w:r>
      <w:r w:rsidR="007D10C4" w:rsidRPr="004432D9">
        <w:rPr>
          <w:rFonts w:ascii="Segoe UI" w:hAnsi="Segoe UI" w:cs="Segoe UI"/>
          <w:noProof/>
        </w:rPr>
        <w:t xml:space="preserve">MDS plot of gene expression </w:t>
      </w:r>
      <w:r w:rsidR="00E66FEE">
        <w:rPr>
          <w:rFonts w:ascii="Segoe UI" w:hAnsi="Segoe UI" w:cs="Segoe UI"/>
          <w:noProof/>
        </w:rPr>
        <w:t>profiling showed a clear sepa</w:t>
      </w:r>
      <w:r w:rsidR="007D10C4" w:rsidRPr="004432D9">
        <w:rPr>
          <w:rFonts w:ascii="Segoe UI" w:hAnsi="Segoe UI" w:cs="Segoe UI"/>
          <w:noProof/>
        </w:rPr>
        <w:t>ration between control and IBD mice</w:t>
      </w:r>
      <w:r w:rsidR="000F7150">
        <w:rPr>
          <w:rFonts w:ascii="Segoe UI" w:hAnsi="Segoe UI" w:cs="Segoe UI"/>
          <w:noProof/>
        </w:rPr>
        <w:t>.</w:t>
      </w:r>
    </w:p>
    <w:p w14:paraId="1506A397" w14:textId="77777777" w:rsidR="004432D9" w:rsidRPr="004432D9" w:rsidRDefault="004432D9">
      <w:pPr>
        <w:rPr>
          <w:rFonts w:ascii="Segoe UI" w:hAnsi="Segoe UI" w:cs="Segoe UI"/>
          <w:noProof/>
        </w:rPr>
      </w:pPr>
      <w:r w:rsidRPr="004432D9">
        <w:rPr>
          <w:rFonts w:ascii="Segoe UI" w:hAnsi="Segoe UI" w:cs="Segoe UI"/>
          <w:noProof/>
        </w:rPr>
        <w:br w:type="page"/>
      </w:r>
    </w:p>
    <w:p w14:paraId="2625AEFC" w14:textId="77777777" w:rsidR="007D10C4" w:rsidRPr="004432D9" w:rsidRDefault="007D10C4" w:rsidP="007D10C4">
      <w:pPr>
        <w:jc w:val="both"/>
        <w:rPr>
          <w:rFonts w:ascii="Segoe UI" w:hAnsi="Segoe UI" w:cs="Segoe UI"/>
          <w:b/>
        </w:rPr>
      </w:pPr>
    </w:p>
    <w:p w14:paraId="0D15816B" w14:textId="5BFE6FF0" w:rsidR="007D10C4" w:rsidRPr="004432D9" w:rsidRDefault="007D10C4">
      <w:pPr>
        <w:rPr>
          <w:rFonts w:ascii="Segoe UI" w:hAnsi="Segoe UI" w:cs="Segoe UI"/>
        </w:rPr>
      </w:pPr>
    </w:p>
    <w:p w14:paraId="2AA0FABC" w14:textId="71451ECC" w:rsidR="00E93119" w:rsidRPr="004432D9" w:rsidRDefault="003712A7">
      <w:pPr>
        <w:rPr>
          <w:rFonts w:ascii="Segoe UI" w:hAnsi="Segoe UI" w:cs="Segoe UI"/>
        </w:rPr>
      </w:pPr>
      <w:r w:rsidRPr="00E66FEE">
        <w:rPr>
          <w:rFonts w:ascii="Segoe UI" w:hAnsi="Segoe UI" w:cs="Segoe UI"/>
          <w:noProof/>
          <w:sz w:val="22"/>
        </w:rPr>
        <w:drawing>
          <wp:inline distT="0" distB="0" distL="0" distR="0" wp14:anchorId="03BB698E" wp14:editId="374DD393">
            <wp:extent cx="6358128" cy="4159885"/>
            <wp:effectExtent l="0" t="0" r="5080" b="0"/>
            <wp:docPr id="1" name="Chart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7"/>
              </a:graphicData>
            </a:graphic>
          </wp:inline>
        </w:drawing>
      </w:r>
    </w:p>
    <w:p w14:paraId="3D32F3B0" w14:textId="77777777" w:rsidR="004432D9" w:rsidRPr="004432D9" w:rsidRDefault="004432D9" w:rsidP="00864114">
      <w:pPr>
        <w:rPr>
          <w:rFonts w:ascii="Segoe UI" w:hAnsi="Segoe UI" w:cs="Segoe UI"/>
          <w:b/>
          <w:bCs/>
        </w:rPr>
      </w:pPr>
    </w:p>
    <w:p w14:paraId="0CAD9147" w14:textId="25FBB80F" w:rsidR="004432D9" w:rsidRPr="004432D9" w:rsidRDefault="008C4FCC" w:rsidP="00E66FEE">
      <w:pPr>
        <w:spacing w:line="360" w:lineRule="auto"/>
        <w:rPr>
          <w:rFonts w:ascii="Segoe UI" w:hAnsi="Segoe UI" w:cs="Segoe UI"/>
        </w:rPr>
      </w:pPr>
      <w:r w:rsidRPr="004432D9">
        <w:rPr>
          <w:rFonts w:ascii="Segoe UI" w:hAnsi="Segoe UI" w:cs="Segoe UI"/>
          <w:b/>
          <w:bCs/>
        </w:rPr>
        <w:t>Figure</w:t>
      </w:r>
      <w:r w:rsidR="002A04CE">
        <w:rPr>
          <w:rFonts w:ascii="Segoe UI" w:hAnsi="Segoe UI" w:cs="Segoe UI"/>
          <w:b/>
          <w:bCs/>
        </w:rPr>
        <w:t xml:space="preserve"> </w:t>
      </w:r>
      <w:r w:rsidR="00D70388">
        <w:rPr>
          <w:rFonts w:ascii="Segoe UI" w:hAnsi="Segoe UI" w:cs="Segoe UI"/>
          <w:b/>
          <w:bCs/>
        </w:rPr>
        <w:t>S</w:t>
      </w:r>
      <w:r w:rsidR="00FA6A84">
        <w:rPr>
          <w:rFonts w:ascii="Segoe UI" w:hAnsi="Segoe UI" w:cs="Segoe UI"/>
          <w:b/>
          <w:bCs/>
        </w:rPr>
        <w:t>4</w:t>
      </w:r>
      <w:r w:rsidRPr="004432D9">
        <w:rPr>
          <w:rFonts w:ascii="Segoe UI" w:hAnsi="Segoe UI" w:cs="Segoe UI"/>
          <w:b/>
          <w:bCs/>
        </w:rPr>
        <w:t>.</w:t>
      </w:r>
      <w:r w:rsidRPr="004432D9">
        <w:rPr>
          <w:rFonts w:ascii="Segoe UI" w:hAnsi="Segoe UI" w:cs="Segoe UI"/>
        </w:rPr>
        <w:t xml:space="preserve"> </w:t>
      </w:r>
      <w:r w:rsidR="00864114" w:rsidRPr="004432D9">
        <w:rPr>
          <w:rFonts w:ascii="Segoe UI" w:hAnsi="Segoe UI" w:cs="Segoe UI"/>
        </w:rPr>
        <w:t xml:space="preserve">RT-qPCR of all </w:t>
      </w:r>
      <w:r w:rsidR="00864114" w:rsidRPr="006C52A1">
        <w:rPr>
          <w:rFonts w:ascii="Segoe UI" w:hAnsi="Segoe UI" w:cs="Segoe UI"/>
          <w:i/>
        </w:rPr>
        <w:t>Tet</w:t>
      </w:r>
      <w:r w:rsidR="00864114" w:rsidRPr="004432D9">
        <w:rPr>
          <w:rFonts w:ascii="Segoe UI" w:hAnsi="Segoe UI" w:cs="Segoe UI"/>
        </w:rPr>
        <w:t xml:space="preserve"> family members. The expression level was normalized to </w:t>
      </w:r>
      <w:r w:rsidR="00E66FEE">
        <w:rPr>
          <w:rFonts w:ascii="Segoe UI" w:hAnsi="Segoe UI" w:cs="Segoe UI"/>
        </w:rPr>
        <w:t>ß</w:t>
      </w:r>
      <w:r w:rsidR="00864114" w:rsidRPr="004432D9">
        <w:rPr>
          <w:rFonts w:ascii="Segoe UI" w:hAnsi="Segoe UI" w:cs="Segoe UI"/>
        </w:rPr>
        <w:t>-Actin.</w:t>
      </w:r>
      <w:r w:rsidR="008E1251">
        <w:rPr>
          <w:rFonts w:ascii="Segoe UI" w:hAnsi="Segoe UI" w:cs="Segoe UI"/>
        </w:rPr>
        <w:t xml:space="preserve"> N=3 in each group.</w:t>
      </w:r>
    </w:p>
    <w:p w14:paraId="06BFA3FD" w14:textId="1B1C14B7" w:rsidR="004432D9" w:rsidRPr="004432D9" w:rsidRDefault="004432D9">
      <w:pPr>
        <w:rPr>
          <w:rFonts w:ascii="Segoe UI" w:hAnsi="Segoe UI" w:cs="Segoe UI"/>
        </w:rPr>
      </w:pPr>
    </w:p>
    <w:sectPr w:rsidR="004432D9" w:rsidRPr="004432D9" w:rsidSect="004432D9">
      <w:pgSz w:w="12240" w:h="15840"/>
      <w:pgMar w:top="1080" w:right="1080" w:bottom="1080" w:left="108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ngXian">
    <w:altName w:val="等线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DengXian Light">
    <w:altName w:val="等线 Light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55110"/>
    <w:rsid w:val="00002B31"/>
    <w:rsid w:val="00004847"/>
    <w:rsid w:val="00011CC8"/>
    <w:rsid w:val="00012061"/>
    <w:rsid w:val="00025F0E"/>
    <w:rsid w:val="00055110"/>
    <w:rsid w:val="00060BBD"/>
    <w:rsid w:val="00076161"/>
    <w:rsid w:val="000B10A4"/>
    <w:rsid w:val="000D772D"/>
    <w:rsid w:val="000F3D50"/>
    <w:rsid w:val="000F3E14"/>
    <w:rsid w:val="000F7150"/>
    <w:rsid w:val="00107932"/>
    <w:rsid w:val="00115FFB"/>
    <w:rsid w:val="001200D4"/>
    <w:rsid w:val="0014424F"/>
    <w:rsid w:val="00147387"/>
    <w:rsid w:val="001512DD"/>
    <w:rsid w:val="00162686"/>
    <w:rsid w:val="001B3BD7"/>
    <w:rsid w:val="001B66B8"/>
    <w:rsid w:val="001E7FA9"/>
    <w:rsid w:val="00221AE9"/>
    <w:rsid w:val="002355BA"/>
    <w:rsid w:val="00251A19"/>
    <w:rsid w:val="0026562A"/>
    <w:rsid w:val="00285B83"/>
    <w:rsid w:val="002942FC"/>
    <w:rsid w:val="00297BAF"/>
    <w:rsid w:val="002A04CE"/>
    <w:rsid w:val="002B0831"/>
    <w:rsid w:val="002C3393"/>
    <w:rsid w:val="002E7FAC"/>
    <w:rsid w:val="003023E9"/>
    <w:rsid w:val="00316502"/>
    <w:rsid w:val="00316B34"/>
    <w:rsid w:val="003417C2"/>
    <w:rsid w:val="00347884"/>
    <w:rsid w:val="00351C81"/>
    <w:rsid w:val="00353E89"/>
    <w:rsid w:val="003661C7"/>
    <w:rsid w:val="003712A7"/>
    <w:rsid w:val="00382ECB"/>
    <w:rsid w:val="003A65DF"/>
    <w:rsid w:val="003A7720"/>
    <w:rsid w:val="003C682F"/>
    <w:rsid w:val="004432D9"/>
    <w:rsid w:val="00483837"/>
    <w:rsid w:val="0048492D"/>
    <w:rsid w:val="00491F8F"/>
    <w:rsid w:val="00495781"/>
    <w:rsid w:val="00511929"/>
    <w:rsid w:val="005406A1"/>
    <w:rsid w:val="00577A32"/>
    <w:rsid w:val="005A4825"/>
    <w:rsid w:val="005B4B27"/>
    <w:rsid w:val="005C50E5"/>
    <w:rsid w:val="005F0781"/>
    <w:rsid w:val="00604B9C"/>
    <w:rsid w:val="00606D57"/>
    <w:rsid w:val="00676F67"/>
    <w:rsid w:val="00682459"/>
    <w:rsid w:val="006C52A1"/>
    <w:rsid w:val="006D3DFD"/>
    <w:rsid w:val="006F220C"/>
    <w:rsid w:val="00734B36"/>
    <w:rsid w:val="00761DDF"/>
    <w:rsid w:val="00772AC6"/>
    <w:rsid w:val="00782343"/>
    <w:rsid w:val="00787763"/>
    <w:rsid w:val="007A7583"/>
    <w:rsid w:val="007C1B89"/>
    <w:rsid w:val="007C1F31"/>
    <w:rsid w:val="007D10C4"/>
    <w:rsid w:val="007E3372"/>
    <w:rsid w:val="007F1ECE"/>
    <w:rsid w:val="00835BBD"/>
    <w:rsid w:val="00850CE7"/>
    <w:rsid w:val="00864114"/>
    <w:rsid w:val="0087655F"/>
    <w:rsid w:val="008C153E"/>
    <w:rsid w:val="008C4FCC"/>
    <w:rsid w:val="008E1251"/>
    <w:rsid w:val="00914723"/>
    <w:rsid w:val="009171F0"/>
    <w:rsid w:val="00926722"/>
    <w:rsid w:val="00930F27"/>
    <w:rsid w:val="00943ECB"/>
    <w:rsid w:val="00955BE0"/>
    <w:rsid w:val="00956286"/>
    <w:rsid w:val="00957731"/>
    <w:rsid w:val="00962B9D"/>
    <w:rsid w:val="00972828"/>
    <w:rsid w:val="00976111"/>
    <w:rsid w:val="009F453A"/>
    <w:rsid w:val="009F56DF"/>
    <w:rsid w:val="00A03945"/>
    <w:rsid w:val="00A15933"/>
    <w:rsid w:val="00A21C65"/>
    <w:rsid w:val="00A52707"/>
    <w:rsid w:val="00A819B9"/>
    <w:rsid w:val="00A91F0C"/>
    <w:rsid w:val="00AA6DEA"/>
    <w:rsid w:val="00AC4D2A"/>
    <w:rsid w:val="00AF54DC"/>
    <w:rsid w:val="00B00D89"/>
    <w:rsid w:val="00B1748D"/>
    <w:rsid w:val="00B42A16"/>
    <w:rsid w:val="00B61DD2"/>
    <w:rsid w:val="00B802E0"/>
    <w:rsid w:val="00BB00F0"/>
    <w:rsid w:val="00BB2CBB"/>
    <w:rsid w:val="00BF31B9"/>
    <w:rsid w:val="00BF6DC5"/>
    <w:rsid w:val="00C157ED"/>
    <w:rsid w:val="00C45AF5"/>
    <w:rsid w:val="00C556FB"/>
    <w:rsid w:val="00C6239F"/>
    <w:rsid w:val="00C62705"/>
    <w:rsid w:val="00CF793F"/>
    <w:rsid w:val="00D2171E"/>
    <w:rsid w:val="00D222E1"/>
    <w:rsid w:val="00D303EC"/>
    <w:rsid w:val="00D325AF"/>
    <w:rsid w:val="00D333FF"/>
    <w:rsid w:val="00D60884"/>
    <w:rsid w:val="00D67409"/>
    <w:rsid w:val="00D70388"/>
    <w:rsid w:val="00D82CBC"/>
    <w:rsid w:val="00DD22F7"/>
    <w:rsid w:val="00DF6FC1"/>
    <w:rsid w:val="00E013D3"/>
    <w:rsid w:val="00E01A6F"/>
    <w:rsid w:val="00E11D94"/>
    <w:rsid w:val="00E447C6"/>
    <w:rsid w:val="00E526DC"/>
    <w:rsid w:val="00E6519F"/>
    <w:rsid w:val="00E66FEE"/>
    <w:rsid w:val="00EA765B"/>
    <w:rsid w:val="00ED2F09"/>
    <w:rsid w:val="00ED75C8"/>
    <w:rsid w:val="00EF4586"/>
    <w:rsid w:val="00F16A53"/>
    <w:rsid w:val="00F2255F"/>
    <w:rsid w:val="00F3283A"/>
    <w:rsid w:val="00F518CB"/>
    <w:rsid w:val="00F756ED"/>
    <w:rsid w:val="00F95C66"/>
    <w:rsid w:val="00F95CCD"/>
    <w:rsid w:val="00FA6A84"/>
    <w:rsid w:val="00FE1DEA"/>
    <w:rsid w:val="00FF1368"/>
    <w:rsid w:val="00FF2E1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5B6F530"/>
  <w14:defaultImageDpi w14:val="330"/>
  <w15:chartTrackingRefBased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4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606D57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303EC"/>
    <w:rPr>
      <w:rFonts w:ascii="Times New Roman" w:hAnsi="Times New Roman" w:cs="Times New Roman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03EC"/>
    <w:rPr>
      <w:rFonts w:ascii="Times New Roman" w:hAnsi="Times New Roman" w:cs="Times New Roman"/>
      <w:sz w:val="18"/>
      <w:szCs w:val="18"/>
    </w:rPr>
  </w:style>
  <w:style w:type="character" w:styleId="Hyperlink">
    <w:name w:val="Hyperlink"/>
    <w:basedOn w:val="DefaultParagraphFont"/>
    <w:uiPriority w:val="99"/>
    <w:unhideWhenUsed/>
    <w:rsid w:val="002E7FAC"/>
    <w:rPr>
      <w:color w:val="0563C1" w:themeColor="hyperlink"/>
      <w:u w:val="single"/>
    </w:rPr>
  </w:style>
  <w:style w:type="paragraph" w:customStyle="1" w:styleId="MDPI12title">
    <w:name w:val="MDPI_1.2_title"/>
    <w:next w:val="Normal"/>
    <w:qFormat/>
    <w:rsid w:val="009171F0"/>
    <w:pPr>
      <w:adjustRightInd w:val="0"/>
      <w:snapToGrid w:val="0"/>
      <w:spacing w:after="240" w:line="400" w:lineRule="exact"/>
    </w:pPr>
    <w:rPr>
      <w:rFonts w:ascii="Palatino Linotype" w:eastAsia="Times New Roman" w:hAnsi="Palatino Linotype" w:cs="Times New Roman"/>
      <w:b/>
      <w:snapToGrid w:val="0"/>
      <w:color w:val="000000"/>
      <w:sz w:val="36"/>
      <w:szCs w:val="20"/>
      <w:lang w:eastAsia="de-DE" w:bidi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03182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1180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5349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chart" Target="charts/chart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oleObject" Target="file:///\\localhost\\Users\hanqiyuan\Desktop\research%20projects\colon%20cancer%20project\RT-qPCR\Colon%20sample%20RNA-seq%20validation_data.xls" TargetMode="External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0"/>
  <c:lang val="en-US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autoTitleDeleted val="0"/>
    <c:plotArea>
      <c:layout/>
      <c:barChart>
        <c:barDir val="col"/>
        <c:grouping val="clustered"/>
        <c:varyColors val="0"/>
        <c:ser>
          <c:idx val="0"/>
          <c:order val="0"/>
          <c:tx>
            <c:strRef>
              <c:f>Sheet1!$A$28</c:f>
              <c:strCache>
                <c:ptCount val="1"/>
                <c:pt idx="0">
                  <c:v>Control</c:v>
                </c:pt>
              </c:strCache>
            </c:strRef>
          </c:tx>
          <c:spPr>
            <a:solidFill>
              <a:srgbClr val="5B9BD5"/>
            </a:solidFill>
            <a:ln w="25400">
              <a:noFill/>
            </a:ln>
          </c:spPr>
          <c:invertIfNegative val="0"/>
          <c:errBars>
            <c:errBarType val="both"/>
            <c:errValType val="cust"/>
            <c:noEndCap val="0"/>
            <c:plus>
              <c:numRef>
                <c:f>Sheet1!$B$30:$D$30</c:f>
                <c:numCache>
                  <c:formatCode>General</c:formatCode>
                  <c:ptCount val="3"/>
                  <c:pt idx="0">
                    <c:v>9.5511635380979201E-4</c:v>
                  </c:pt>
                  <c:pt idx="1">
                    <c:v>1.0691789082464299E-2</c:v>
                  </c:pt>
                  <c:pt idx="2">
                    <c:v>1.3443026311751401E-3</c:v>
                  </c:pt>
                </c:numCache>
              </c:numRef>
            </c:plus>
            <c:minus>
              <c:numRef>
                <c:f>Sheet1!$B$30:$D$30</c:f>
                <c:numCache>
                  <c:formatCode>General</c:formatCode>
                  <c:ptCount val="3"/>
                  <c:pt idx="0">
                    <c:v>9.5511635380979201E-4</c:v>
                  </c:pt>
                  <c:pt idx="1">
                    <c:v>1.0691789082464299E-2</c:v>
                  </c:pt>
                  <c:pt idx="2">
                    <c:v>1.3443026311751401E-3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Sheet1!$B$27:$D$27</c:f>
              <c:strCache>
                <c:ptCount val="3"/>
                <c:pt idx="0">
                  <c:v>TET1</c:v>
                </c:pt>
                <c:pt idx="1">
                  <c:v>TET2</c:v>
                </c:pt>
                <c:pt idx="2">
                  <c:v>TET3</c:v>
                </c:pt>
              </c:strCache>
            </c:strRef>
          </c:cat>
          <c:val>
            <c:numRef>
              <c:f>Sheet1!$B$28:$D$28</c:f>
              <c:numCache>
                <c:formatCode>General</c:formatCode>
                <c:ptCount val="3"/>
                <c:pt idx="0">
                  <c:v>1.22830214558565E-3</c:v>
                </c:pt>
                <c:pt idx="1">
                  <c:v>1.6435950638362101E-2</c:v>
                </c:pt>
                <c:pt idx="2">
                  <c:v>1.5872580015470199E-3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0-1621-1548-844B-58BE66857503}"/>
            </c:ext>
          </c:extLst>
        </c:ser>
        <c:ser>
          <c:idx val="1"/>
          <c:order val="1"/>
          <c:tx>
            <c:strRef>
              <c:f>Sheet1!$A$29</c:f>
              <c:strCache>
                <c:ptCount val="1"/>
                <c:pt idx="0">
                  <c:v>IBD</c:v>
                </c:pt>
              </c:strCache>
            </c:strRef>
          </c:tx>
          <c:spPr>
            <a:solidFill>
              <a:srgbClr val="ED7D31"/>
            </a:solidFill>
            <a:ln w="25400">
              <a:noFill/>
            </a:ln>
          </c:spPr>
          <c:invertIfNegative val="0"/>
          <c:errBars>
            <c:errBarType val="both"/>
            <c:errValType val="cust"/>
            <c:noEndCap val="0"/>
            <c:plus>
              <c:numRef>
                <c:f>Sheet1!$B$31:$D$31</c:f>
                <c:numCache>
                  <c:formatCode>General</c:formatCode>
                  <c:ptCount val="3"/>
                  <c:pt idx="0">
                    <c:v>5.5696176927991101E-5</c:v>
                  </c:pt>
                  <c:pt idx="1">
                    <c:v>4.0518937102459697E-3</c:v>
                  </c:pt>
                  <c:pt idx="2">
                    <c:v>6.9477257181483696E-5</c:v>
                  </c:pt>
                </c:numCache>
              </c:numRef>
            </c:plus>
            <c:minus>
              <c:numRef>
                <c:f>Sheet1!$B$31:$D$31</c:f>
                <c:numCache>
                  <c:formatCode>General</c:formatCode>
                  <c:ptCount val="3"/>
                  <c:pt idx="0">
                    <c:v>5.5696176927991101E-5</c:v>
                  </c:pt>
                  <c:pt idx="1">
                    <c:v>4.0518937102459697E-3</c:v>
                  </c:pt>
                  <c:pt idx="2">
                    <c:v>6.9477257181483696E-5</c:v>
                  </c:pt>
                </c:numCache>
              </c:numRef>
            </c:minus>
            <c:spPr>
              <a:noFill/>
              <a:ln w="9525" cap="flat" cmpd="sng" algn="ctr">
                <a:solidFill>
                  <a:schemeClr val="tx1">
                    <a:lumMod val="65000"/>
                    <a:lumOff val="35000"/>
                  </a:schemeClr>
                </a:solidFill>
                <a:round/>
              </a:ln>
              <a:effectLst/>
            </c:spPr>
          </c:errBars>
          <c:cat>
            <c:strRef>
              <c:f>Sheet1!$B$27:$D$27</c:f>
              <c:strCache>
                <c:ptCount val="3"/>
                <c:pt idx="0">
                  <c:v>TET1</c:v>
                </c:pt>
                <c:pt idx="1">
                  <c:v>TET2</c:v>
                </c:pt>
                <c:pt idx="2">
                  <c:v>TET3</c:v>
                </c:pt>
              </c:strCache>
            </c:strRef>
          </c:cat>
          <c:val>
            <c:numRef>
              <c:f>Sheet1!$B$29:$D$29</c:f>
              <c:numCache>
                <c:formatCode>General</c:formatCode>
                <c:ptCount val="3"/>
                <c:pt idx="0">
                  <c:v>5.7090952687491203E-5</c:v>
                </c:pt>
                <c:pt idx="1">
                  <c:v>1.0136048770710801E-2</c:v>
                </c:pt>
                <c:pt idx="2">
                  <c:v>4.3319931204966101E-4</c:v>
                </c:pt>
              </c:numCache>
            </c:numRef>
          </c:val>
          <c:extLst xmlns:c16r2="http://schemas.microsoft.com/office/drawing/2015/06/chart">
            <c:ext xmlns:c16="http://schemas.microsoft.com/office/drawing/2014/chart" uri="{C3380CC4-5D6E-409C-BE32-E72D297353CC}">
              <c16:uniqueId val="{00000001-1621-1548-844B-58BE66857503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219"/>
        <c:overlap val="-27"/>
        <c:axId val="158068448"/>
        <c:axId val="1019743256"/>
      </c:barChart>
      <c:catAx>
        <c:axId val="158068448"/>
        <c:scaling>
          <c:orientation val="minMax"/>
        </c:scaling>
        <c:delete val="0"/>
        <c:axPos val="b"/>
        <c:numFmt formatCode="General" sourceLinked="0"/>
        <c:majorTickMark val="out"/>
        <c:minorTickMark val="none"/>
        <c:tickLblPos val="nextTo"/>
        <c:spPr>
          <a:noFill/>
          <a:ln w="9525" cap="flat" cmpd="sng" algn="ctr">
            <a:solidFill>
              <a:schemeClr val="tx1"/>
            </a:solidFill>
            <a:round/>
          </a:ln>
          <a:effectLst/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019743256"/>
        <c:crosses val="autoZero"/>
        <c:auto val="1"/>
        <c:lblAlgn val="ctr"/>
        <c:lblOffset val="100"/>
        <c:tickLblSkip val="1"/>
        <c:noMultiLvlLbl val="0"/>
      </c:catAx>
      <c:valAx>
        <c:axId val="1019743256"/>
        <c:scaling>
          <c:orientation val="minMax"/>
        </c:scaling>
        <c:delete val="0"/>
        <c:axPos val="l"/>
        <c:title>
          <c:tx>
            <c:rich>
              <a:bodyPr/>
              <a:lstStyle/>
              <a:p>
                <a:pPr>
                  <a:defRPr sz="1600" b="0"/>
                </a:pPr>
                <a:r>
                  <a:rPr lang="en-US" sz="1600" b="0"/>
                  <a:t>Relative</a:t>
                </a:r>
                <a:r>
                  <a:rPr lang="en-US" sz="1600" b="0" baseline="0"/>
                  <a:t> Expression to b-Actin</a:t>
                </a:r>
                <a:endParaRPr lang="en-US" sz="1600" b="0"/>
              </a:p>
            </c:rich>
          </c:tx>
          <c:overlay val="0"/>
        </c:title>
        <c:numFmt formatCode="General" sourceLinked="1"/>
        <c:majorTickMark val="out"/>
        <c:minorTickMark val="none"/>
        <c:tickLblPos val="nextTo"/>
        <c:spPr>
          <a:ln w="12700">
            <a:solidFill>
              <a:schemeClr val="tx1"/>
            </a:solidFill>
          </a:ln>
        </c:spPr>
        <c:txPr>
          <a:bodyPr rot="-60000000" spcFirstLastPara="1" vertOverflow="ellipsis" vert="horz" wrap="square" anchor="ctr" anchorCtr="1"/>
          <a:lstStyle/>
          <a:p>
            <a:pPr>
              <a:defRPr sz="1400" b="0" i="0" u="none" strike="noStrike" kern="1200" baseline="0">
                <a:solidFill>
                  <a:schemeClr val="tx1">
                    <a:lumMod val="65000"/>
                    <a:lumOff val="35000"/>
                  </a:schemeClr>
                </a:solidFill>
                <a:latin typeface="+mn-lt"/>
                <a:ea typeface="+mn-ea"/>
                <a:cs typeface="+mn-cs"/>
              </a:defRPr>
            </a:pPr>
            <a:endParaRPr lang="en-US"/>
          </a:p>
        </c:txPr>
        <c:crossAx val="158068448"/>
        <c:crosses val="autoZero"/>
        <c:crossBetween val="between"/>
      </c:valAx>
      <c:spPr>
        <a:noFill/>
        <a:ln w="12700">
          <a:solidFill>
            <a:schemeClr val="tx1"/>
          </a:solidFill>
        </a:ln>
      </c:spPr>
    </c:plotArea>
    <c:legend>
      <c:legendPos val="r"/>
      <c:overlay val="0"/>
      <c:spPr>
        <a:noFill/>
        <a:ln w="25400">
          <a:noFill/>
        </a:ln>
      </c:spPr>
      <c:txPr>
        <a:bodyPr rot="0" spcFirstLastPara="1" vertOverflow="ellipsis" vert="horz" wrap="square" anchor="ctr" anchorCtr="1"/>
        <a:lstStyle/>
        <a:p>
          <a:pPr>
            <a:defRPr sz="1600" b="0" i="0" u="none" strike="noStrike" kern="1200" baseline="0">
              <a:solidFill>
                <a:schemeClr val="tx1">
                  <a:lumMod val="65000"/>
                  <a:lumOff val="35000"/>
                </a:schemeClr>
              </a:solidFill>
              <a:latin typeface="+mn-lt"/>
              <a:ea typeface="+mn-ea"/>
              <a:cs typeface="+mn-cs"/>
            </a:defRPr>
          </a:pPr>
          <a:endParaRPr lang="en-US"/>
        </a:p>
      </c:txPr>
    </c:legend>
    <c:plotVisOnly val="1"/>
    <c:dispBlanksAs val="gap"/>
    <c:showDLblsOverMax val="0"/>
  </c:chart>
  <c:spPr>
    <a:solidFill>
      <a:schemeClr val="bg1"/>
    </a:solidFill>
    <a:ln w="9525" cap="flat" cmpd="sng" algn="ctr">
      <a:noFill/>
      <a:round/>
    </a:ln>
    <a:effectLst/>
  </c:spPr>
  <c:txPr>
    <a:bodyPr/>
    <a:lstStyle/>
    <a:p>
      <a:pPr>
        <a:defRPr/>
      </a:pPr>
      <a:endParaRPr lang="en-US"/>
    </a:p>
  </c:txPr>
  <c:externalData r:id="rId1">
    <c:autoUpdate val="0"/>
  </c:externalData>
</c:chartSpace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7</Pages>
  <Words>401</Words>
  <Characters>2469</Characters>
  <Application>Microsoft Office Word</Application>
  <DocSecurity>0</DocSecurity>
  <Lines>213</Lines>
  <Paragraphs>133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2743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Qiyuan Han</dc:creator>
  <cp:keywords/>
  <dc:description/>
  <cp:lastModifiedBy>MDPI</cp:lastModifiedBy>
  <cp:revision>17</cp:revision>
  <dcterms:created xsi:type="dcterms:W3CDTF">2020-11-19T17:27:00Z</dcterms:created>
  <dcterms:modified xsi:type="dcterms:W3CDTF">2020-12-30T03:27:00Z</dcterms:modified>
</cp:coreProperties>
</file>