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4949" w14:textId="77777777" w:rsidR="00563545" w:rsidRPr="00563545" w:rsidRDefault="00563545" w:rsidP="00563545">
      <w:pPr>
        <w:spacing w:after="0" w:line="480" w:lineRule="auto"/>
        <w:jc w:val="both"/>
        <w:rPr>
          <w:b/>
          <w:sz w:val="28"/>
          <w:szCs w:val="28"/>
          <w:lang w:val="en-GB"/>
        </w:rPr>
      </w:pPr>
      <w:bookmarkStart w:id="0" w:name="_heading=h.gjdgxs" w:colFirst="0" w:colLast="0"/>
      <w:bookmarkStart w:id="1" w:name="_heading=h.hz6uqygaavct" w:colFirst="0" w:colLast="0"/>
      <w:bookmarkEnd w:id="0"/>
      <w:bookmarkEnd w:id="1"/>
      <w:r w:rsidRPr="00563545">
        <w:rPr>
          <w:b/>
          <w:sz w:val="28"/>
          <w:szCs w:val="28"/>
        </w:rPr>
        <w:t>Environmentally relevant iron oxide nanoparticles produce limited acute pulmonary toxicity at realistic doses</w:t>
      </w:r>
    </w:p>
    <w:p w14:paraId="09285E6E" w14:textId="3AF606D7" w:rsidR="00563545" w:rsidRPr="00563545" w:rsidRDefault="00563545">
      <w:pPr>
        <w:spacing w:after="0" w:line="480" w:lineRule="auto"/>
        <w:rPr>
          <w:color w:val="000000"/>
        </w:rPr>
      </w:pPr>
      <w:r w:rsidRPr="00563545">
        <w:rPr>
          <w:color w:val="000000"/>
        </w:rPr>
        <w:t xml:space="preserve">Chang Guo, </w:t>
      </w:r>
      <w:r w:rsidRPr="00563545">
        <w:t>Ralf J. M. Weber</w:t>
      </w:r>
      <w:r w:rsidRPr="00563545">
        <w:rPr>
          <w:color w:val="000000"/>
        </w:rPr>
        <w:t xml:space="preserve">, Alison Buckley, </w:t>
      </w:r>
      <w:r w:rsidRPr="00563545">
        <w:t xml:space="preserve">Julie Mazzolini, </w:t>
      </w:r>
      <w:r w:rsidRPr="00563545">
        <w:rPr>
          <w:color w:val="000000"/>
        </w:rPr>
        <w:t>Sarah Rober</w:t>
      </w:r>
      <w:r w:rsidR="00C90FA6">
        <w:rPr>
          <w:color w:val="000000"/>
        </w:rPr>
        <w:t>t</w:t>
      </w:r>
      <w:r w:rsidRPr="00563545">
        <w:rPr>
          <w:color w:val="000000"/>
        </w:rPr>
        <w:t xml:space="preserve">son, </w:t>
      </w:r>
      <w:r w:rsidRPr="00563545">
        <w:t xml:space="preserve">Juana Maria Delgado-Saborit, Joshua Z. Rappoport, </w:t>
      </w:r>
      <w:r w:rsidRPr="00563545">
        <w:rPr>
          <w:color w:val="000000"/>
        </w:rPr>
        <w:t xml:space="preserve">James Warren, Alan Hodgson, </w:t>
      </w:r>
      <w:r w:rsidRPr="00563545">
        <w:t>Paul Sanderson</w:t>
      </w:r>
      <w:r w:rsidRPr="00563545">
        <w:rPr>
          <w:color w:val="000000"/>
        </w:rPr>
        <w:t xml:space="preserve">, </w:t>
      </w:r>
      <w:r w:rsidRPr="00563545">
        <w:t xml:space="preserve">James Kevin Chipman, Mark R. </w:t>
      </w:r>
      <w:proofErr w:type="spellStart"/>
      <w:r w:rsidRPr="00563545">
        <w:t>Viant</w:t>
      </w:r>
      <w:proofErr w:type="spellEnd"/>
      <w:r w:rsidRPr="00563545">
        <w:rPr>
          <w:color w:val="000000"/>
        </w:rPr>
        <w:t xml:space="preserve">, Rachel Smith </w:t>
      </w:r>
    </w:p>
    <w:p w14:paraId="6B5069C5" w14:textId="77777777" w:rsidR="00563545" w:rsidRPr="00563545" w:rsidRDefault="00563545">
      <w:pPr>
        <w:spacing w:after="0" w:line="480" w:lineRule="auto"/>
        <w:rPr>
          <w:b/>
        </w:rPr>
      </w:pPr>
    </w:p>
    <w:p w14:paraId="00000003" w14:textId="3C75C22E" w:rsidR="00C3467B" w:rsidRPr="00563545" w:rsidRDefault="00470279">
      <w:pPr>
        <w:spacing w:after="0" w:line="480" w:lineRule="auto"/>
        <w:rPr>
          <w:b/>
        </w:rPr>
      </w:pPr>
      <w:r w:rsidRPr="00563545">
        <w:rPr>
          <w:b/>
        </w:rPr>
        <w:t>SUPPLEMENTARY INFORMATION</w:t>
      </w:r>
      <w:r w:rsidR="00563545" w:rsidRPr="00563545">
        <w:rPr>
          <w:b/>
        </w:rPr>
        <w:t>_2</w:t>
      </w:r>
    </w:p>
    <w:p w14:paraId="00000004" w14:textId="346CFA51" w:rsidR="00C3467B" w:rsidRPr="00563545" w:rsidRDefault="00155D2C">
      <w:pPr>
        <w:spacing w:after="0" w:line="480" w:lineRule="auto"/>
        <w:rPr>
          <w:b/>
        </w:rPr>
      </w:pPr>
      <w:proofErr w:type="spellStart"/>
      <w:r w:rsidRPr="00563545">
        <w:rPr>
          <w:b/>
        </w:rPr>
        <w:t>FeOx</w:t>
      </w:r>
      <w:proofErr w:type="spellEnd"/>
      <w:r w:rsidRPr="00563545">
        <w:rPr>
          <w:b/>
        </w:rPr>
        <w:t xml:space="preserve"> m</w:t>
      </w:r>
      <w:r w:rsidR="00470279" w:rsidRPr="00563545">
        <w:rPr>
          <w:b/>
        </w:rPr>
        <w:t>ixture ratio calculations</w:t>
      </w:r>
      <w:r w:rsidRPr="00563545">
        <w:rPr>
          <w:b/>
        </w:rPr>
        <w:t xml:space="preserve"> and additional</w:t>
      </w:r>
      <w:r w:rsidR="00470279" w:rsidRPr="00563545">
        <w:rPr>
          <w:b/>
        </w:rPr>
        <w:t xml:space="preserve"> </w:t>
      </w:r>
      <w:r w:rsidR="007216B8" w:rsidRPr="00563545">
        <w:rPr>
          <w:b/>
        </w:rPr>
        <w:t>dose metrics</w:t>
      </w:r>
    </w:p>
    <w:p w14:paraId="00000005" w14:textId="77777777" w:rsidR="00C3467B" w:rsidRPr="00563545" w:rsidRDefault="00C3467B">
      <w:pPr>
        <w:spacing w:after="0" w:line="480" w:lineRule="auto"/>
        <w:rPr>
          <w:b/>
        </w:rPr>
      </w:pPr>
    </w:p>
    <w:p w14:paraId="00000006" w14:textId="1F39EB43" w:rsidR="00C3467B" w:rsidRPr="00FF3711" w:rsidRDefault="00470279" w:rsidP="00FF3711">
      <w:pPr>
        <w:pStyle w:val="ListParagraph"/>
        <w:numPr>
          <w:ilvl w:val="0"/>
          <w:numId w:val="2"/>
        </w:numPr>
        <w:spacing w:after="0" w:line="480" w:lineRule="auto"/>
        <w:ind w:left="284" w:hanging="284"/>
        <w:rPr>
          <w:b/>
        </w:rPr>
      </w:pPr>
      <w:proofErr w:type="spellStart"/>
      <w:r w:rsidRPr="00FF3711">
        <w:rPr>
          <w:b/>
        </w:rPr>
        <w:t>FeOx</w:t>
      </w:r>
      <w:proofErr w:type="spellEnd"/>
      <w:r w:rsidRPr="00FF3711">
        <w:rPr>
          <w:b/>
        </w:rPr>
        <w:t xml:space="preserve"> mixture</w:t>
      </w:r>
      <w:r w:rsidR="00155D2C" w:rsidRPr="00FF3711">
        <w:rPr>
          <w:b/>
        </w:rPr>
        <w:t xml:space="preserve"> ratio</w:t>
      </w:r>
      <w:r w:rsidRPr="00FF3711">
        <w:rPr>
          <w:b/>
        </w:rPr>
        <w:t xml:space="preserve"> calculations</w:t>
      </w:r>
    </w:p>
    <w:p w14:paraId="00000007" w14:textId="116BFC53" w:rsidR="00C3467B" w:rsidRPr="00563545" w:rsidRDefault="00470279">
      <w:pPr>
        <w:spacing w:after="0" w:line="480" w:lineRule="auto"/>
      </w:pPr>
      <w:r w:rsidRPr="00563545">
        <w:t>From their roadside investigations, Sanderson et al</w:t>
      </w:r>
      <w:r w:rsidR="00140AA1">
        <w:t xml:space="preserve"> </w:t>
      </w:r>
      <w:r w:rsidR="00140AA1" w:rsidRPr="00140AA1">
        <w:rPr>
          <w:vertAlign w:val="superscript"/>
        </w:rPr>
        <w:t>1</w:t>
      </w:r>
      <w:r w:rsidRPr="00563545">
        <w:t xml:space="preserve"> estimated that the % distribution of </w:t>
      </w:r>
      <w:proofErr w:type="spellStart"/>
      <w:r w:rsidRPr="00563545">
        <w:t>nano</w:t>
      </w:r>
      <w:proofErr w:type="spellEnd"/>
      <w:r w:rsidRPr="00563545">
        <w:t>-sized primary particles of the three main iron oxides observed in the ultrafine fraction of the roadside aerosol was as follows: 32% Fe</w:t>
      </w:r>
      <w:r w:rsidRPr="00563545">
        <w:rPr>
          <w:vertAlign w:val="subscript"/>
        </w:rPr>
        <w:t>3</w:t>
      </w:r>
      <w:r w:rsidRPr="00563545">
        <w:t>O</w:t>
      </w:r>
      <w:r w:rsidRPr="00563545">
        <w:rPr>
          <w:vertAlign w:val="subscript"/>
        </w:rPr>
        <w:t>4</w:t>
      </w:r>
      <w:r w:rsidRPr="00563545">
        <w:t>, 44% γ-Fe</w:t>
      </w:r>
      <w:r w:rsidRPr="00563545">
        <w:rPr>
          <w:vertAlign w:val="subscript"/>
        </w:rPr>
        <w:t>2</w:t>
      </w:r>
      <w:r w:rsidRPr="00563545">
        <w:t>O</w:t>
      </w:r>
      <w:r w:rsidRPr="00563545">
        <w:rPr>
          <w:vertAlign w:val="subscript"/>
        </w:rPr>
        <w:t>3</w:t>
      </w:r>
      <w:r w:rsidRPr="00563545">
        <w:t xml:space="preserve"> and 20% α-Fe</w:t>
      </w:r>
      <w:r w:rsidRPr="00563545">
        <w:rPr>
          <w:vertAlign w:val="subscript"/>
        </w:rPr>
        <w:t>2</w:t>
      </w:r>
      <w:r w:rsidRPr="00563545">
        <w:t>O</w:t>
      </w:r>
      <w:r w:rsidRPr="00563545">
        <w:rPr>
          <w:vertAlign w:val="subscript"/>
        </w:rPr>
        <w:t>3</w:t>
      </w:r>
      <w:r w:rsidRPr="00563545">
        <w:t xml:space="preserve">. For the in vitro investigations, a nanoparticle suspension with equivalent number-based ratios of the three main iron oxides was made, based on the calculations detailed below. To create an aerosol of agglomerates containing similar ratios of primary particles, dispersions of each type of Fe oxide where first mixed in the correct ratios and then </w:t>
      </w:r>
      <w:proofErr w:type="spellStart"/>
      <w:r w:rsidRPr="00563545">
        <w:t>aerosolised</w:t>
      </w:r>
      <w:proofErr w:type="spellEnd"/>
      <w:r w:rsidRPr="00563545">
        <w:t xml:space="preserve">. </w:t>
      </w:r>
    </w:p>
    <w:p w14:paraId="00000008" w14:textId="77777777" w:rsidR="00C3467B" w:rsidRPr="00563545" w:rsidRDefault="00C3467B">
      <w:pPr>
        <w:spacing w:after="0" w:line="480" w:lineRule="auto"/>
      </w:pPr>
    </w:p>
    <w:p w14:paraId="00000009" w14:textId="77777777" w:rsidR="00C3467B" w:rsidRPr="00563545" w:rsidRDefault="00470279">
      <w:pPr>
        <w:spacing w:after="0" w:line="480" w:lineRule="auto"/>
      </w:pPr>
      <w:r w:rsidRPr="00563545">
        <w:t xml:space="preserve">Stock solutions of mass concentrations </w:t>
      </w:r>
      <w:r w:rsidRPr="00563545">
        <w:rPr>
          <w:i/>
        </w:rPr>
        <w:t>C</w:t>
      </w:r>
      <w:r w:rsidRPr="00563545">
        <w:rPr>
          <w:i/>
          <w:vertAlign w:val="subscript"/>
        </w:rPr>
        <w:t>Fe3O4</w:t>
      </w:r>
      <w:r w:rsidRPr="00563545">
        <w:t xml:space="preserve">, </w:t>
      </w:r>
      <w:r w:rsidRPr="00563545">
        <w:rPr>
          <w:i/>
        </w:rPr>
        <w:t>C</w:t>
      </w:r>
      <w:r w:rsidRPr="00563545">
        <w:rPr>
          <w:i/>
          <w:vertAlign w:val="subscript"/>
        </w:rPr>
        <w:t>γ-Fe2O3</w:t>
      </w:r>
      <w:r w:rsidRPr="00563545">
        <w:t xml:space="preserve"> and </w:t>
      </w:r>
      <w:r w:rsidRPr="00563545">
        <w:rPr>
          <w:i/>
        </w:rPr>
        <w:t>C</w:t>
      </w:r>
      <w:r w:rsidRPr="00563545">
        <w:rPr>
          <w:i/>
          <w:vertAlign w:val="subscript"/>
        </w:rPr>
        <w:t>α-Fe2O3</w:t>
      </w:r>
      <w:r w:rsidRPr="00563545">
        <w:t xml:space="preserve"> of Fe</w:t>
      </w:r>
      <w:r w:rsidRPr="00563545">
        <w:rPr>
          <w:vertAlign w:val="subscript"/>
        </w:rPr>
        <w:t>3</w:t>
      </w:r>
      <w:r w:rsidRPr="00563545">
        <w:t>O</w:t>
      </w:r>
      <w:r w:rsidRPr="00563545">
        <w:rPr>
          <w:vertAlign w:val="subscript"/>
        </w:rPr>
        <w:t>4</w:t>
      </w:r>
      <w:r w:rsidRPr="00563545">
        <w:t>, γ-Fe</w:t>
      </w:r>
      <w:r w:rsidRPr="00563545">
        <w:rPr>
          <w:vertAlign w:val="subscript"/>
        </w:rPr>
        <w:t>2</w:t>
      </w:r>
      <w:r w:rsidRPr="00563545">
        <w:t>O</w:t>
      </w:r>
      <w:r w:rsidRPr="00563545">
        <w:rPr>
          <w:vertAlign w:val="subscript"/>
        </w:rPr>
        <w:t>3</w:t>
      </w:r>
      <w:r w:rsidRPr="00563545">
        <w:t xml:space="preserve"> and α-Fe</w:t>
      </w:r>
      <w:r w:rsidRPr="00563545">
        <w:rPr>
          <w:vertAlign w:val="subscript"/>
        </w:rPr>
        <w:t>2</w:t>
      </w:r>
      <w:r w:rsidRPr="00563545">
        <w:t>O</w:t>
      </w:r>
      <w:r w:rsidRPr="00563545">
        <w:rPr>
          <w:vertAlign w:val="subscript"/>
        </w:rPr>
        <w:t>3</w:t>
      </w:r>
      <w:r w:rsidRPr="00563545">
        <w:t xml:space="preserve">, respectively, were provided by Promethean Particles Ltd.  The number concentration of primary particles, </w:t>
      </w:r>
      <w:proofErr w:type="spellStart"/>
      <w:r w:rsidRPr="00563545">
        <w:rPr>
          <w:i/>
        </w:rPr>
        <w:t>N</w:t>
      </w:r>
      <w:r w:rsidRPr="00563545">
        <w:rPr>
          <w:i/>
          <w:vertAlign w:val="subscript"/>
        </w:rPr>
        <w:t>pp</w:t>
      </w:r>
      <w:proofErr w:type="spellEnd"/>
      <w:r w:rsidRPr="00563545">
        <w:t xml:space="preserve">, in a given stock solution is related to the mass concentration, </w:t>
      </w:r>
      <w:r w:rsidRPr="00563545">
        <w:rPr>
          <w:i/>
        </w:rPr>
        <w:t>C</w:t>
      </w:r>
      <w:r w:rsidRPr="00563545">
        <w:t>, as follows:</w:t>
      </w:r>
    </w:p>
    <w:p w14:paraId="0000000A"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pp</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C</m:t>
              </m:r>
            </m:num>
            <m:den>
              <m:sSub>
                <m:sSubPr>
                  <m:ctrlPr>
                    <w:rPr>
                      <w:rFonts w:ascii="Cambria Math" w:eastAsia="Cambria Math" w:hAnsi="Cambria Math" w:cs="Cambria Math"/>
                    </w:rPr>
                  </m:ctrlPr>
                </m:sSubPr>
                <m:e>
                  <m:r>
                    <w:rPr>
                      <w:rFonts w:ascii="Cambria Math" w:eastAsia="Cambria Math" w:hAnsi="Cambria Math" w:cs="Cambria Math"/>
                    </w:rPr>
                    <m:t>m</m:t>
                  </m:r>
                </m:e>
                <m:sub>
                  <m:r>
                    <w:rPr>
                      <w:rFonts w:ascii="Cambria Math" w:eastAsia="Cambria Math" w:hAnsi="Cambria Math" w:cs="Cambria Math"/>
                    </w:rPr>
                    <m:t>pp</m:t>
                  </m:r>
                </m:sub>
              </m:sSub>
            </m:den>
          </m:f>
          <m:r>
            <w:rPr>
              <w:rFonts w:ascii="Cambria Math" w:eastAsia="Cambria Math" w:hAnsi="Cambria Math" w:cs="Cambria Math"/>
            </w:rPr>
            <m:t xml:space="preserve">            (1)</m:t>
          </m:r>
        </m:oMath>
      </m:oMathPara>
    </w:p>
    <w:p w14:paraId="0000000B" w14:textId="77777777" w:rsidR="00C3467B" w:rsidRPr="00563545" w:rsidRDefault="00470279">
      <w:pPr>
        <w:spacing w:after="0" w:line="480" w:lineRule="auto"/>
      </w:pPr>
      <w:r w:rsidRPr="00563545">
        <w:t xml:space="preserve">where </w:t>
      </w:r>
      <w:proofErr w:type="spellStart"/>
      <w:r w:rsidRPr="00563545">
        <w:rPr>
          <w:i/>
        </w:rPr>
        <w:t>m</w:t>
      </w:r>
      <w:r w:rsidRPr="00563545">
        <w:rPr>
          <w:i/>
          <w:vertAlign w:val="subscript"/>
        </w:rPr>
        <w:t>pp</w:t>
      </w:r>
      <w:proofErr w:type="spellEnd"/>
      <w:r w:rsidRPr="00563545">
        <w:t xml:space="preserve"> is the mass of a single nanoparticle. Assuming all primary particles are spheres with average radius, </w:t>
      </w:r>
      <w:proofErr w:type="spellStart"/>
      <w:r w:rsidRPr="00563545">
        <w:rPr>
          <w:i/>
        </w:rPr>
        <w:t>r</w:t>
      </w:r>
      <w:r w:rsidRPr="00563545">
        <w:rPr>
          <w:i/>
          <w:vertAlign w:val="subscript"/>
        </w:rPr>
        <w:t>pp</w:t>
      </w:r>
      <w:proofErr w:type="spellEnd"/>
      <w:r w:rsidRPr="00563545">
        <w:t xml:space="preserve">, and bulk density, </w:t>
      </w:r>
      <w:r w:rsidRPr="00563545">
        <w:rPr>
          <w:i/>
        </w:rPr>
        <w:t>ρ</w:t>
      </w:r>
      <w:r w:rsidRPr="00563545">
        <w:t>, then the mass of a single nanoparticle is:</w:t>
      </w:r>
    </w:p>
    <w:p w14:paraId="0000000C"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m</m:t>
              </m:r>
            </m:e>
            <m:sub>
              <m:r>
                <w:rPr>
                  <w:rFonts w:ascii="Cambria Math" w:eastAsia="Cambria Math" w:hAnsi="Cambria Math" w:cs="Cambria Math"/>
                </w:rPr>
                <m:t>pp</m:t>
              </m:r>
            </m:sub>
          </m:sSub>
          <m:r>
            <w:rPr>
              <w:rFonts w:ascii="Cambria Math" w:eastAsia="Cambria Math" w:hAnsi="Cambria Math" w:cs="Cambria Math"/>
            </w:rPr>
            <m:t>=ρ</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pp</m:t>
              </m:r>
            </m:sub>
          </m:sSub>
          <m:r>
            <w:rPr>
              <w:rFonts w:ascii="Cambria Math" w:eastAsia="Cambria Math" w:hAnsi="Cambria Math" w:cs="Cambria Math"/>
            </w:rPr>
            <m:t xml:space="preserve">            (2)</m:t>
          </m:r>
        </m:oMath>
      </m:oMathPara>
    </w:p>
    <w:p w14:paraId="0000000D" w14:textId="77777777" w:rsidR="00C3467B" w:rsidRPr="00563545" w:rsidRDefault="00470279">
      <w:pPr>
        <w:spacing w:after="0" w:line="480" w:lineRule="auto"/>
      </w:pPr>
      <w:r w:rsidRPr="00563545">
        <w:lastRenderedPageBreak/>
        <w:t xml:space="preserve">where the volume of a single spherical primary particle, </w:t>
      </w:r>
      <w:proofErr w:type="spellStart"/>
      <w:r w:rsidRPr="00563545">
        <w:rPr>
          <w:i/>
        </w:rPr>
        <w:t>v</w:t>
      </w:r>
      <w:r w:rsidRPr="00563545">
        <w:rPr>
          <w:i/>
          <w:vertAlign w:val="subscript"/>
        </w:rPr>
        <w:t>pp</w:t>
      </w:r>
      <w:proofErr w:type="spellEnd"/>
      <w:r w:rsidRPr="00563545">
        <w:t xml:space="preserve">, is calculated as </w:t>
      </w:r>
    </w:p>
    <w:p w14:paraId="0000000E"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pp</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4</m:t>
              </m:r>
            </m:num>
            <m:den>
              <m:r>
                <w:rPr>
                  <w:rFonts w:ascii="Cambria Math" w:eastAsia="Cambria Math" w:hAnsi="Cambria Math" w:cs="Cambria Math"/>
                </w:rPr>
                <m:t>3</m:t>
              </m:r>
            </m:den>
          </m:f>
          <m:r>
            <w:rPr>
              <w:rFonts w:ascii="Cambria Math" w:eastAsia="Cambria Math" w:hAnsi="Cambria Math" w:cs="Cambria Math"/>
            </w:rPr>
            <m:t>π</m:t>
          </m:r>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r>
                    <w:rPr>
                      <w:rFonts w:ascii="Cambria Math" w:eastAsia="Cambria Math" w:hAnsi="Cambria Math" w:cs="Cambria Math"/>
                    </w:rPr>
                    <m:t>pp</m:t>
                  </m:r>
                </m:sub>
              </m:sSub>
            </m:e>
            <m:sup>
              <m:r>
                <w:rPr>
                  <w:rFonts w:ascii="Cambria Math" w:eastAsia="Cambria Math" w:hAnsi="Cambria Math" w:cs="Cambria Math"/>
                </w:rPr>
                <m:t>3</m:t>
              </m:r>
            </m:sup>
          </m:sSup>
          <m:r>
            <w:rPr>
              <w:rFonts w:ascii="Cambria Math" w:eastAsia="Cambria Math" w:hAnsi="Cambria Math" w:cs="Cambria Math"/>
            </w:rPr>
            <m:t xml:space="preserve">           (3)</m:t>
          </m:r>
        </m:oMath>
      </m:oMathPara>
    </w:p>
    <w:p w14:paraId="0000000F" w14:textId="77777777" w:rsidR="00C3467B" w:rsidRPr="00563545" w:rsidRDefault="00470279">
      <w:pPr>
        <w:spacing w:after="0" w:line="480" w:lineRule="auto"/>
      </w:pPr>
      <w:r w:rsidRPr="00563545">
        <w:t>Substituting equations (2) and (3) into equation (1), the number concentration of a given nanoparticle suspension can be calculated using:</w:t>
      </w:r>
    </w:p>
    <w:p w14:paraId="00000010"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pp</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C</m:t>
              </m:r>
            </m:num>
            <m:den>
              <m:r>
                <w:rPr>
                  <w:rFonts w:ascii="Cambria Math" w:eastAsia="Cambria Math" w:hAnsi="Cambria Math" w:cs="Cambria Math"/>
                </w:rPr>
                <m:t>ρ</m:t>
              </m:r>
              <m:f>
                <m:fPr>
                  <m:ctrlPr>
                    <w:rPr>
                      <w:rFonts w:ascii="Cambria Math" w:eastAsia="Cambria Math" w:hAnsi="Cambria Math" w:cs="Cambria Math"/>
                    </w:rPr>
                  </m:ctrlPr>
                </m:fPr>
                <m:num>
                  <m:r>
                    <w:rPr>
                      <w:rFonts w:ascii="Cambria Math" w:eastAsia="Cambria Math" w:hAnsi="Cambria Math" w:cs="Cambria Math"/>
                    </w:rPr>
                    <m:t>4</m:t>
                  </m:r>
                </m:num>
                <m:den>
                  <m:r>
                    <w:rPr>
                      <w:rFonts w:ascii="Cambria Math" w:eastAsia="Cambria Math" w:hAnsi="Cambria Math" w:cs="Cambria Math"/>
                    </w:rPr>
                    <m:t>3</m:t>
                  </m:r>
                </m:den>
              </m:f>
              <m:r>
                <w:rPr>
                  <w:rFonts w:ascii="Cambria Math" w:eastAsia="Cambria Math" w:hAnsi="Cambria Math" w:cs="Cambria Math"/>
                </w:rPr>
                <m:t>π</m:t>
              </m:r>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r>
                        <w:rPr>
                          <w:rFonts w:ascii="Cambria Math" w:eastAsia="Cambria Math" w:hAnsi="Cambria Math" w:cs="Cambria Math"/>
                        </w:rPr>
                        <m:t>pp</m:t>
                      </m:r>
                    </m:sub>
                  </m:sSub>
                </m:e>
                <m:sup>
                  <m:r>
                    <w:rPr>
                      <w:rFonts w:ascii="Cambria Math" w:eastAsia="Cambria Math" w:hAnsi="Cambria Math" w:cs="Cambria Math"/>
                    </w:rPr>
                    <m:t>3</m:t>
                  </m:r>
                </m:sup>
              </m:sSup>
            </m:den>
          </m:f>
          <m:r>
            <w:rPr>
              <w:rFonts w:ascii="Cambria Math" w:eastAsia="Cambria Math" w:hAnsi="Cambria Math" w:cs="Cambria Math"/>
            </w:rPr>
            <m:t xml:space="preserve">         (4)</m:t>
          </m:r>
        </m:oMath>
      </m:oMathPara>
    </w:p>
    <w:p w14:paraId="00000011" w14:textId="77777777" w:rsidR="00C3467B" w:rsidRPr="00563545" w:rsidRDefault="00470279">
      <w:pPr>
        <w:spacing w:after="0" w:line="480" w:lineRule="auto"/>
      </w:pPr>
      <w:r w:rsidRPr="00563545">
        <w:t xml:space="preserve">The concentration of primary particles, </w:t>
      </w:r>
      <w:proofErr w:type="spellStart"/>
      <w:r w:rsidRPr="00563545">
        <w:rPr>
          <w:i/>
        </w:rPr>
        <w:t>N</w:t>
      </w:r>
      <w:r w:rsidRPr="00563545">
        <w:rPr>
          <w:i/>
          <w:vertAlign w:val="subscript"/>
        </w:rPr>
        <w:t>pp</w:t>
      </w:r>
      <w:proofErr w:type="spellEnd"/>
      <w:r w:rsidRPr="00563545">
        <w:t>, can also be written as:</w:t>
      </w:r>
    </w:p>
    <w:p w14:paraId="00000012"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pp</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N</m:t>
              </m:r>
            </m:num>
            <m:den>
              <m:r>
                <w:rPr>
                  <w:rFonts w:ascii="Cambria Math" w:eastAsia="Cambria Math" w:hAnsi="Cambria Math" w:cs="Cambria Math"/>
                </w:rPr>
                <m:t>V</m:t>
              </m:r>
            </m:den>
          </m:f>
          <m:r>
            <w:rPr>
              <w:rFonts w:ascii="Cambria Math" w:eastAsia="Cambria Math" w:hAnsi="Cambria Math" w:cs="Cambria Math"/>
            </w:rPr>
            <m:t xml:space="preserve">           (5)</m:t>
          </m:r>
        </m:oMath>
      </m:oMathPara>
    </w:p>
    <w:p w14:paraId="00000013" w14:textId="77777777" w:rsidR="00C3467B" w:rsidRPr="00563545" w:rsidRDefault="00470279">
      <w:pPr>
        <w:spacing w:after="0" w:line="480" w:lineRule="auto"/>
      </w:pPr>
      <w:r w:rsidRPr="00563545">
        <w:t xml:space="preserve">Where </w:t>
      </w:r>
      <w:r w:rsidRPr="00563545">
        <w:rPr>
          <w:i/>
        </w:rPr>
        <w:t>N</w:t>
      </w:r>
      <w:r w:rsidRPr="00563545">
        <w:t xml:space="preserve"> is the total number of primary particles in solution and </w:t>
      </w:r>
      <w:r w:rsidRPr="00563545">
        <w:rPr>
          <w:i/>
        </w:rPr>
        <w:t>V</w:t>
      </w:r>
      <w:r w:rsidRPr="00563545">
        <w:t xml:space="preserve"> is the volume of the solution. Combining equations (4) and (5):</w:t>
      </w:r>
    </w:p>
    <w:p w14:paraId="00000014" w14:textId="77777777" w:rsidR="00C3467B" w:rsidRPr="00563545" w:rsidRDefault="00470279">
      <w:pPr>
        <w:jc w:val="center"/>
        <w:rPr>
          <w:rFonts w:ascii="Cambria Math" w:eastAsia="Cambria Math" w:hAnsi="Cambria Math" w:cs="Cambria Math"/>
        </w:rPr>
      </w:pPr>
      <m:oMathPara>
        <m:oMath>
          <m:r>
            <w:rPr>
              <w:rFonts w:ascii="Cambria Math" w:eastAsia="Cambria Math" w:hAnsi="Cambria Math" w:cs="Cambria Math"/>
            </w:rPr>
            <m:t>V=</m:t>
          </m:r>
          <m:f>
            <m:fPr>
              <m:ctrlPr>
                <w:rPr>
                  <w:rFonts w:ascii="Cambria Math" w:eastAsia="Cambria Math" w:hAnsi="Cambria Math" w:cs="Cambria Math"/>
                </w:rPr>
              </m:ctrlPr>
            </m:fPr>
            <m:num>
              <m:r>
                <w:rPr>
                  <w:rFonts w:ascii="Cambria Math" w:eastAsia="Cambria Math" w:hAnsi="Cambria Math" w:cs="Cambria Math"/>
                </w:rPr>
                <m:t>Nρ</m:t>
              </m:r>
              <m:f>
                <m:fPr>
                  <m:ctrlPr>
                    <w:rPr>
                      <w:rFonts w:ascii="Cambria Math" w:eastAsia="Cambria Math" w:hAnsi="Cambria Math" w:cs="Cambria Math"/>
                    </w:rPr>
                  </m:ctrlPr>
                </m:fPr>
                <m:num>
                  <m:r>
                    <w:rPr>
                      <w:rFonts w:ascii="Cambria Math" w:eastAsia="Cambria Math" w:hAnsi="Cambria Math" w:cs="Cambria Math"/>
                    </w:rPr>
                    <m:t>4</m:t>
                  </m:r>
                </m:num>
                <m:den>
                  <m:r>
                    <w:rPr>
                      <w:rFonts w:ascii="Cambria Math" w:eastAsia="Cambria Math" w:hAnsi="Cambria Math" w:cs="Cambria Math"/>
                    </w:rPr>
                    <m:t>3</m:t>
                  </m:r>
                </m:den>
              </m:f>
              <m:r>
                <w:rPr>
                  <w:rFonts w:ascii="Cambria Math" w:eastAsia="Cambria Math" w:hAnsi="Cambria Math" w:cs="Cambria Math"/>
                </w:rPr>
                <m:t>π</m:t>
              </m:r>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r>
                        <w:rPr>
                          <w:rFonts w:ascii="Cambria Math" w:eastAsia="Cambria Math" w:hAnsi="Cambria Math" w:cs="Cambria Math"/>
                        </w:rPr>
                        <m:t>pp</m:t>
                      </m:r>
                    </m:sub>
                  </m:sSub>
                </m:e>
                <m:sup>
                  <m:r>
                    <w:rPr>
                      <w:rFonts w:ascii="Cambria Math" w:eastAsia="Cambria Math" w:hAnsi="Cambria Math" w:cs="Cambria Math"/>
                    </w:rPr>
                    <m:t>3</m:t>
                  </m:r>
                </m:sup>
              </m:sSup>
            </m:num>
            <m:den>
              <m:r>
                <w:rPr>
                  <w:rFonts w:ascii="Cambria Math" w:eastAsia="Cambria Math" w:hAnsi="Cambria Math" w:cs="Cambria Math"/>
                </w:rPr>
                <m:t>C</m:t>
              </m:r>
            </m:den>
          </m:f>
          <m:r>
            <w:rPr>
              <w:rFonts w:ascii="Cambria Math" w:eastAsia="Cambria Math" w:hAnsi="Cambria Math" w:cs="Cambria Math"/>
            </w:rPr>
            <m:t xml:space="preserve">            (6)</m:t>
          </m:r>
        </m:oMath>
      </m:oMathPara>
    </w:p>
    <w:p w14:paraId="00000015" w14:textId="77777777" w:rsidR="00C3467B" w:rsidRPr="00563545" w:rsidRDefault="00470279">
      <w:pPr>
        <w:spacing w:after="0" w:line="480" w:lineRule="auto"/>
      </w:pPr>
      <w:r w:rsidRPr="00563545">
        <w:t xml:space="preserve">Knowing the mass concentration, </w:t>
      </w:r>
      <w:r w:rsidRPr="00563545">
        <w:rPr>
          <w:i/>
        </w:rPr>
        <w:t>C,</w:t>
      </w:r>
      <w:r w:rsidRPr="00563545">
        <w:t xml:space="preserve"> of each iron oxide nanoparticle stock solution, the ratios of volumes of each stock solution required to give the desired number-based </w:t>
      </w:r>
      <w:sdt>
        <w:sdtPr>
          <w:tag w:val="goog_rdk_0"/>
          <w:id w:val="1102463060"/>
        </w:sdtPr>
        <w:sdtEndPr/>
        <w:sdtContent/>
      </w:sdt>
      <w:r w:rsidRPr="00563545">
        <w:t>ratios of 1.6:2.2:1.0 for Fe</w:t>
      </w:r>
      <w:r w:rsidRPr="00563545">
        <w:rPr>
          <w:vertAlign w:val="subscript"/>
        </w:rPr>
        <w:t>3</w:t>
      </w:r>
      <w:r w:rsidRPr="00563545">
        <w:t>O</w:t>
      </w:r>
      <w:r w:rsidRPr="00563545">
        <w:rPr>
          <w:vertAlign w:val="subscript"/>
        </w:rPr>
        <w:t>4</w:t>
      </w:r>
      <w:r w:rsidRPr="00563545">
        <w:t>: γ-Fe</w:t>
      </w:r>
      <w:r w:rsidRPr="00563545">
        <w:rPr>
          <w:vertAlign w:val="subscript"/>
        </w:rPr>
        <w:t>2</w:t>
      </w:r>
      <w:r w:rsidRPr="00563545">
        <w:t>O</w:t>
      </w:r>
      <w:r w:rsidRPr="00563545">
        <w:rPr>
          <w:vertAlign w:val="subscript"/>
        </w:rPr>
        <w:t>3</w:t>
      </w:r>
      <w:r w:rsidRPr="00563545">
        <w:t>: α-Fe</w:t>
      </w:r>
      <w:r w:rsidRPr="00563545">
        <w:rPr>
          <w:vertAlign w:val="subscript"/>
        </w:rPr>
        <w:t>2</w:t>
      </w:r>
      <w:r w:rsidRPr="00563545">
        <w:t>O</w:t>
      </w:r>
      <w:r w:rsidRPr="00563545">
        <w:rPr>
          <w:vertAlign w:val="subscript"/>
        </w:rPr>
        <w:t>3</w:t>
      </w:r>
      <w:r w:rsidRPr="00563545">
        <w:t xml:space="preserve"> can be calculated using the following</w:t>
      </w:r>
    </w:p>
    <w:p w14:paraId="00000016" w14:textId="77777777" w:rsidR="00C3467B" w:rsidRPr="00563545" w:rsidRDefault="00C90FA6">
      <w:pPr>
        <w:jc w:val="center"/>
        <w:rPr>
          <w:rFonts w:ascii="Cambria Math" w:eastAsia="Cambria Math" w:hAnsi="Cambria Math" w:cs="Cambria Math"/>
        </w:rPr>
      </w:pPr>
      <m:oMathPara>
        <m:oMath>
          <m:f>
            <m:fPr>
              <m:ctrlPr>
                <w:rPr>
                  <w:rFonts w:ascii="Cambria Math" w:hAnsi="Cambria Math"/>
                </w:rPr>
              </m:ctrlPr>
            </m:fPr>
            <m:num>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num>
            <m:den>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num>
            <m:den>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ρ</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num>
            <m:den>
              <m:sSub>
                <m:sSubPr>
                  <m:ctrlPr>
                    <w:rPr>
                      <w:rFonts w:ascii="Cambria Math" w:eastAsia="Cambria Math" w:hAnsi="Cambria Math" w:cs="Cambria Math"/>
                    </w:rPr>
                  </m:ctrlPr>
                </m:sSubPr>
                <m:e>
                  <m:r>
                    <w:rPr>
                      <w:rFonts w:ascii="Cambria Math" w:eastAsia="Cambria Math" w:hAnsi="Cambria Math" w:cs="Cambria Math"/>
                    </w:rPr>
                    <m:t>ρ</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m:t>
          </m:r>
          <m:f>
            <m:fPr>
              <m:ctrlPr>
                <w:rPr>
                  <w:rFonts w:ascii="Cambria Math" w:eastAsia="Cambria Math" w:hAnsi="Cambria Math" w:cs="Cambria Math"/>
                </w:rPr>
              </m:ctrlPr>
            </m:fPr>
            <m:num>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e>
                <m:sup>
                  <m:r>
                    <w:rPr>
                      <w:rFonts w:ascii="Cambria Math" w:eastAsia="Cambria Math" w:hAnsi="Cambria Math" w:cs="Cambria Math"/>
                    </w:rPr>
                    <m:t>3</m:t>
                  </m:r>
                </m:sup>
              </m:sSup>
            </m:num>
            <m:den>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e>
                <m:sup>
                  <m:r>
                    <w:rPr>
                      <w:rFonts w:ascii="Cambria Math" w:eastAsia="Cambria Math" w:hAnsi="Cambria Math" w:cs="Cambria Math"/>
                    </w:rPr>
                    <m:t>3</m:t>
                  </m:r>
                </m:sup>
              </m:sSup>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num>
            <m:den>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 xml:space="preserve">           (7)</m:t>
          </m:r>
        </m:oMath>
      </m:oMathPara>
    </w:p>
    <w:p w14:paraId="00000017" w14:textId="77777777" w:rsidR="00C3467B" w:rsidRPr="00563545" w:rsidRDefault="00C90FA6">
      <w:pPr>
        <w:jc w:val="center"/>
        <w:rPr>
          <w:rFonts w:ascii="Cambria Math" w:eastAsia="Cambria Math" w:hAnsi="Cambria Math" w:cs="Cambria Math"/>
        </w:rPr>
      </w:pPr>
      <m:oMathPara>
        <m:oMath>
          <m:f>
            <m:fPr>
              <m:ctrlPr>
                <w:rPr>
                  <w:rFonts w:ascii="Cambria Math" w:hAnsi="Cambria Math"/>
                </w:rPr>
              </m:ctrlPr>
            </m:fPr>
            <m:num>
              <m:sSub>
                <m:sSubPr>
                  <m:ctrlPr>
                    <w:rPr>
                      <w:rFonts w:ascii="Cambria Math" w:eastAsia="Cambria Math" w:hAnsi="Cambria Math" w:cs="Cambria Math"/>
                    </w:rPr>
                  </m:ctrlPr>
                </m:sSubPr>
                <m:e>
                  <m:r>
                    <w:rPr>
                      <w:rFonts w:ascii="Cambria Math" w:eastAsia="Cambria Math" w:hAnsi="Cambria Math" w:cs="Cambria Math"/>
                    </w:rPr>
                    <m:t>V</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num>
            <m:den>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N</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num>
            <m:den>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ρ</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num>
            <m:den>
              <m:sSub>
                <m:sSubPr>
                  <m:ctrlPr>
                    <w:rPr>
                      <w:rFonts w:ascii="Cambria Math" w:eastAsia="Cambria Math" w:hAnsi="Cambria Math" w:cs="Cambria Math"/>
                    </w:rPr>
                  </m:ctrlPr>
                </m:sSubPr>
                <m:e>
                  <m:r>
                    <w:rPr>
                      <w:rFonts w:ascii="Cambria Math" w:eastAsia="Cambria Math" w:hAnsi="Cambria Math" w:cs="Cambria Math"/>
                    </w:rPr>
                    <m:t>ρ</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den>
          </m:f>
          <m:r>
            <w:rPr>
              <w:rFonts w:ascii="Cambria Math" w:eastAsia="Cambria Math" w:hAnsi="Cambria Math" w:cs="Cambria Math"/>
            </w:rPr>
            <m:t>.</m:t>
          </m:r>
          <m:f>
            <m:fPr>
              <m:ctrlPr>
                <w:rPr>
                  <w:rFonts w:ascii="Cambria Math" w:eastAsia="Cambria Math" w:hAnsi="Cambria Math" w:cs="Cambria Math"/>
                </w:rPr>
              </m:ctrlPr>
            </m:fPr>
            <m:num>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e>
                <m:sup>
                  <m:r>
                    <w:rPr>
                      <w:rFonts w:ascii="Cambria Math" w:eastAsia="Cambria Math" w:hAnsi="Cambria Math" w:cs="Cambria Math"/>
                    </w:rPr>
                    <m:t>3</m:t>
                  </m:r>
                </m:sup>
              </m:sSup>
            </m:num>
            <m:den>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r</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e>
                <m:sup>
                  <m:r>
                    <w:rPr>
                      <w:rFonts w:ascii="Cambria Math" w:eastAsia="Cambria Math" w:hAnsi="Cambria Math" w:cs="Cambria Math"/>
                    </w:rPr>
                    <m:t>3</m:t>
                  </m:r>
                </m:sup>
              </m:sSup>
            </m:den>
          </m:f>
          <m:r>
            <w:rPr>
              <w:rFonts w:ascii="Cambria Math" w:eastAsia="Cambria Math" w:hAnsi="Cambria Math" w:cs="Cambria Math"/>
            </w:rPr>
            <m:t>.</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num>
            <m:den>
              <m:sSub>
                <m:sSubPr>
                  <m:ctrlPr>
                    <w:rPr>
                      <w:rFonts w:ascii="Cambria Math" w:eastAsia="Cambria Math" w:hAnsi="Cambria Math" w:cs="Cambria Math"/>
                    </w:rPr>
                  </m:ctrlPr>
                </m:sSubPr>
                <m:e>
                  <m:r>
                    <w:rPr>
                      <w:rFonts w:ascii="Cambria Math" w:eastAsia="Cambria Math" w:hAnsi="Cambria Math" w:cs="Cambria Math"/>
                    </w:rPr>
                    <m:t>C</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den>
          </m:f>
          <m:r>
            <w:rPr>
              <w:rFonts w:ascii="Cambria Math" w:eastAsia="Cambria Math" w:hAnsi="Cambria Math" w:cs="Cambria Math"/>
            </w:rPr>
            <m:t xml:space="preserve">           (8)</m:t>
          </m:r>
        </m:oMath>
      </m:oMathPara>
    </w:p>
    <w:p w14:paraId="00000018" w14:textId="4E1A4705" w:rsidR="00C3467B" w:rsidRPr="00563545" w:rsidRDefault="00470279">
      <w:pPr>
        <w:spacing w:after="0" w:line="480" w:lineRule="auto"/>
      </w:pPr>
      <w:r w:rsidRPr="00563545">
        <w:t xml:space="preserve">Using data on desired number ratios, bulk densities, radii, and suspension concentrations (Table </w:t>
      </w:r>
      <w:r w:rsidR="00155D2C" w:rsidRPr="00563545">
        <w:t>SA</w:t>
      </w:r>
      <w:r w:rsidRPr="00563545">
        <w:t>), the equations above can be simplified as follows for the in vitro experiments:</w:t>
      </w:r>
    </w:p>
    <w:p w14:paraId="00000019" w14:textId="3EB09E65"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=3.54 </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        (9)</m:t>
          </m:r>
        </m:oMath>
      </m:oMathPara>
    </w:p>
    <w:p w14:paraId="0000001A" w14:textId="5013D53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r>
            <w:rPr>
              <w:rFonts w:ascii="Cambria Math" w:eastAsia="Cambria Math" w:hAnsi="Cambria Math" w:cs="Cambria Math"/>
            </w:rPr>
            <m:t xml:space="preserve">=33.69  </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        (10)</m:t>
          </m:r>
        </m:oMath>
      </m:oMathPara>
    </w:p>
    <w:p w14:paraId="0000001B" w14:textId="77777777" w:rsidR="00C3467B" w:rsidRPr="00563545" w:rsidRDefault="00470279">
      <w:pPr>
        <w:spacing w:after="0" w:line="480" w:lineRule="auto"/>
      </w:pPr>
      <w:r w:rsidRPr="00563545">
        <w:t>Similarly, for the in vivo investigation:</w:t>
      </w:r>
    </w:p>
    <w:bookmarkStart w:id="2" w:name="_heading=h.30j0zll" w:colFirst="0" w:colLast="0"/>
    <w:bookmarkEnd w:id="2"/>
    <w:p w14:paraId="0000001C" w14:textId="31C38CEC"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=3.54  </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       (11)</m:t>
          </m:r>
        </m:oMath>
      </m:oMathPara>
    </w:p>
    <w:p w14:paraId="0000001D" w14:textId="31078B4B"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r>
            <w:rPr>
              <w:rFonts w:ascii="Cambria Math" w:eastAsia="Cambria Math" w:hAnsi="Cambria Math" w:cs="Cambria Math"/>
            </w:rPr>
            <m:t xml:space="preserve">=18.72   </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       (12)</m:t>
          </m:r>
        </m:oMath>
      </m:oMathPara>
    </w:p>
    <w:p w14:paraId="0000001E" w14:textId="77777777" w:rsidR="00C3467B" w:rsidRPr="00563545" w:rsidRDefault="00470279">
      <w:pPr>
        <w:spacing w:after="0" w:line="480" w:lineRule="auto"/>
      </w:pPr>
      <w:proofErr w:type="gramStart"/>
      <w:r w:rsidRPr="00563545">
        <w:t>Thus</w:t>
      </w:r>
      <w:proofErr w:type="gramEnd"/>
      <w:r w:rsidRPr="00563545">
        <w:t xml:space="preserve"> volumes were combined in the following ratios for the in vitro experiments,</w:t>
      </w:r>
    </w:p>
    <w:p w14:paraId="0000001F"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V</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r>
            <w:rPr>
              <w:rFonts w:ascii="Cambria Math" w:eastAsia="Cambria Math" w:hAnsi="Cambria Math" w:cs="Cambria Math"/>
            </w:rPr>
            <m:t>=1 :3.54 :33.69         (13)</m:t>
          </m:r>
        </m:oMath>
      </m:oMathPara>
    </w:p>
    <w:p w14:paraId="00000020" w14:textId="77777777" w:rsidR="00C3467B" w:rsidRPr="00563545" w:rsidRDefault="00470279">
      <w:pPr>
        <w:spacing w:after="0" w:line="480" w:lineRule="auto"/>
      </w:pPr>
      <w:r w:rsidRPr="00563545">
        <w:t>and for the in vivo experiments:</w:t>
      </w:r>
    </w:p>
    <w:p w14:paraId="00000021"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γ-</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V</m:t>
              </m:r>
            </m:e>
            <m:sub>
              <m:r>
                <w:rPr>
                  <w:rFonts w:ascii="Cambria Math" w:eastAsia="Cambria Math" w:hAnsi="Cambria Math" w:cs="Cambria Math"/>
                </w:rPr>
                <m:t>α-</m:t>
              </m:r>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2</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3</m:t>
                  </m:r>
                </m:sub>
              </m:sSub>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V</m:t>
              </m:r>
            </m:e>
            <m:sub>
              <m:sSub>
                <m:sSubPr>
                  <m:ctrlPr>
                    <w:rPr>
                      <w:rFonts w:ascii="Cambria Math" w:eastAsia="Cambria Math" w:hAnsi="Cambria Math" w:cs="Cambria Math"/>
                    </w:rPr>
                  </m:ctrlPr>
                </m:sSubPr>
                <m:e>
                  <m:r>
                    <w:rPr>
                      <w:rFonts w:ascii="Cambria Math" w:eastAsia="Cambria Math" w:hAnsi="Cambria Math" w:cs="Cambria Math"/>
                    </w:rPr>
                    <m:t>Fe</m:t>
                  </m:r>
                </m:e>
                <m:sub>
                  <m:r>
                    <w:rPr>
                      <w:rFonts w:ascii="Cambria Math" w:eastAsia="Cambria Math" w:hAnsi="Cambria Math" w:cs="Cambria Math"/>
                    </w:rPr>
                    <m:t>3</m:t>
                  </m:r>
                </m:sub>
              </m:sSub>
              <m:sSub>
                <m:sSubPr>
                  <m:ctrlPr>
                    <w:rPr>
                      <w:rFonts w:ascii="Cambria Math" w:eastAsia="Cambria Math" w:hAnsi="Cambria Math" w:cs="Cambria Math"/>
                    </w:rPr>
                  </m:ctrlPr>
                </m:sSubPr>
                <m:e>
                  <m:r>
                    <w:rPr>
                      <w:rFonts w:ascii="Cambria Math" w:eastAsia="Cambria Math" w:hAnsi="Cambria Math" w:cs="Cambria Math"/>
                    </w:rPr>
                    <m:t>O</m:t>
                  </m:r>
                </m:e>
                <m:sub>
                  <m:r>
                    <w:rPr>
                      <w:rFonts w:ascii="Cambria Math" w:eastAsia="Cambria Math" w:hAnsi="Cambria Math" w:cs="Cambria Math"/>
                    </w:rPr>
                    <m:t>4</m:t>
                  </m:r>
                </m:sub>
              </m:sSub>
            </m:sub>
          </m:sSub>
          <m:r>
            <w:rPr>
              <w:rFonts w:ascii="Cambria Math" w:eastAsia="Cambria Math" w:hAnsi="Cambria Math" w:cs="Cambria Math"/>
            </w:rPr>
            <m:t>=1 :3.54 :18.72         (14)</m:t>
          </m:r>
        </m:oMath>
      </m:oMathPara>
    </w:p>
    <w:p w14:paraId="00000022" w14:textId="77777777" w:rsidR="00C3467B" w:rsidRPr="00563545" w:rsidRDefault="00470279">
      <w:pPr>
        <w:spacing w:after="0" w:line="240" w:lineRule="auto"/>
      </w:pPr>
      <w:r w:rsidRPr="00563545">
        <w:rPr>
          <w:b/>
        </w:rPr>
        <w:t xml:space="preserve">Table SA </w:t>
      </w:r>
      <w:r w:rsidRPr="00563545">
        <w:t xml:space="preserve">Iron Oxide suspension properties. </w:t>
      </w:r>
    </w:p>
    <w:tbl>
      <w:tblPr>
        <w:tblStyle w:val="a"/>
        <w:tblW w:w="9026" w:type="dxa"/>
        <w:tblBorders>
          <w:top w:val="single" w:sz="4" w:space="0" w:color="000000"/>
          <w:left w:val="nil"/>
          <w:bottom w:val="single" w:sz="4" w:space="0" w:color="000000"/>
          <w:right w:val="nil"/>
          <w:insideH w:val="single" w:sz="4" w:space="0" w:color="000000"/>
          <w:insideV w:val="nil"/>
        </w:tblBorders>
        <w:tblLayout w:type="fixed"/>
        <w:tblLook w:val="04A0" w:firstRow="1" w:lastRow="0" w:firstColumn="1" w:lastColumn="0" w:noHBand="0" w:noVBand="1"/>
      </w:tblPr>
      <w:tblGrid>
        <w:gridCol w:w="1385"/>
        <w:gridCol w:w="1374"/>
        <w:gridCol w:w="1389"/>
        <w:gridCol w:w="1908"/>
        <w:gridCol w:w="1485"/>
        <w:gridCol w:w="1485"/>
      </w:tblGrid>
      <w:tr w:rsidR="00C3467B" w:rsidRPr="00563545" w14:paraId="0DE1145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5" w:type="dxa"/>
          </w:tcPr>
          <w:p w14:paraId="00000023" w14:textId="77777777" w:rsidR="00C3467B" w:rsidRPr="00563545" w:rsidRDefault="00470279">
            <w:r w:rsidRPr="00563545">
              <w:t>Material</w:t>
            </w:r>
          </w:p>
        </w:tc>
        <w:tc>
          <w:tcPr>
            <w:tcW w:w="1374" w:type="dxa"/>
          </w:tcPr>
          <w:p w14:paraId="00000024" w14:textId="45261C4D"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t>Primary particle radius</w:t>
            </w:r>
            <w:r w:rsidR="00C90FA6" w:rsidRPr="002B62EC">
              <w:rPr>
                <w:rFonts w:asciiTheme="minorHAnsi" w:hAnsiTheme="minorHAnsi" w:cstheme="minorHAnsi"/>
                <w:color w:val="1C1D1E"/>
                <w:vertAlign w:val="superscript"/>
                <w:lang w:val="en"/>
              </w:rPr>
              <w:t>†</w:t>
            </w:r>
            <w:r w:rsidRPr="00563545">
              <w:t xml:space="preserve"> (nm)</w:t>
            </w:r>
          </w:p>
        </w:tc>
        <w:tc>
          <w:tcPr>
            <w:tcW w:w="1389" w:type="dxa"/>
          </w:tcPr>
          <w:p w14:paraId="00000025" w14:textId="2768B261"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t>Bulk density</w:t>
            </w:r>
            <w:r w:rsidR="00C90FA6" w:rsidRPr="002B62EC">
              <w:rPr>
                <w:rFonts w:asciiTheme="minorHAnsi" w:hAnsiTheme="minorHAnsi" w:cstheme="minorHAnsi"/>
                <w:color w:val="1C1D1E"/>
                <w:vertAlign w:val="superscript"/>
                <w:lang w:val="en"/>
              </w:rPr>
              <w:t>‡</w:t>
            </w:r>
            <w:r w:rsidRPr="00563545">
              <w:t xml:space="preserve"> (gcm</w:t>
            </w:r>
            <w:r w:rsidRPr="00563545">
              <w:rPr>
                <w:vertAlign w:val="superscript"/>
              </w:rPr>
              <w:t>-3</w:t>
            </w:r>
            <w:r w:rsidRPr="00563545">
              <w:t>)</w:t>
            </w:r>
          </w:p>
        </w:tc>
        <w:tc>
          <w:tcPr>
            <w:tcW w:w="1908" w:type="dxa"/>
          </w:tcPr>
          <w:p w14:paraId="00000026" w14:textId="7EAC6659"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t>Ratio of NPs in environment by number</w:t>
            </w:r>
            <w:r w:rsidR="00C90FA6" w:rsidRPr="002B62EC">
              <w:rPr>
                <w:rFonts w:asciiTheme="minorHAnsi" w:hAnsiTheme="minorHAnsi" w:cstheme="minorHAnsi"/>
                <w:color w:val="1C1D1E"/>
                <w:vertAlign w:val="superscript"/>
                <w:lang w:val="en"/>
              </w:rPr>
              <w:t>§</w:t>
            </w:r>
            <w:r w:rsidRPr="00563545">
              <w:t xml:space="preserve"> (normalized to α-Fe</w:t>
            </w:r>
            <w:r w:rsidRPr="00563545">
              <w:rPr>
                <w:vertAlign w:val="subscript"/>
              </w:rPr>
              <w:t>2</w:t>
            </w:r>
            <w:r w:rsidRPr="00563545">
              <w:t>O</w:t>
            </w:r>
            <w:r w:rsidRPr="00563545">
              <w:rPr>
                <w:vertAlign w:val="subscript"/>
              </w:rPr>
              <w:t>3</w:t>
            </w:r>
            <w:r w:rsidRPr="00563545">
              <w:t>)</w:t>
            </w:r>
          </w:p>
        </w:tc>
        <w:tc>
          <w:tcPr>
            <w:tcW w:w="1485" w:type="dxa"/>
          </w:tcPr>
          <w:p w14:paraId="00000027"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t>C in vitro (mg/ml)</w:t>
            </w:r>
          </w:p>
        </w:tc>
        <w:tc>
          <w:tcPr>
            <w:tcW w:w="1485" w:type="dxa"/>
          </w:tcPr>
          <w:p w14:paraId="00000028"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t>C in vivo (mg/ml)</w:t>
            </w:r>
          </w:p>
        </w:tc>
      </w:tr>
      <w:tr w:rsidR="00C3467B" w:rsidRPr="00563545" w14:paraId="0ED65B73" w14:textId="77777777" w:rsidTr="00C346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5" w:type="dxa"/>
            <w:tcBorders>
              <w:top w:val="single" w:sz="12" w:space="0" w:color="666666"/>
            </w:tcBorders>
            <w:shd w:val="clear" w:color="auto" w:fill="FFFFFF"/>
          </w:tcPr>
          <w:p w14:paraId="00000029" w14:textId="77777777" w:rsidR="00C3467B" w:rsidRPr="00563545" w:rsidRDefault="00470279">
            <w:r w:rsidRPr="00563545">
              <w:rPr>
                <w:b w:val="0"/>
              </w:rPr>
              <w:t>Fe</w:t>
            </w:r>
            <w:r w:rsidRPr="00563545">
              <w:rPr>
                <w:b w:val="0"/>
                <w:vertAlign w:val="subscript"/>
              </w:rPr>
              <w:t>3</w:t>
            </w:r>
            <w:r w:rsidRPr="00563545">
              <w:rPr>
                <w:b w:val="0"/>
              </w:rPr>
              <w:t>O</w:t>
            </w:r>
            <w:r w:rsidRPr="00563545">
              <w:rPr>
                <w:b w:val="0"/>
                <w:vertAlign w:val="subscript"/>
              </w:rPr>
              <w:t>4</w:t>
            </w:r>
          </w:p>
        </w:tc>
        <w:tc>
          <w:tcPr>
            <w:tcW w:w="1374" w:type="dxa"/>
            <w:tcBorders>
              <w:top w:val="single" w:sz="12" w:space="0" w:color="666666"/>
            </w:tcBorders>
            <w:shd w:val="clear" w:color="auto" w:fill="FFFFFF"/>
          </w:tcPr>
          <w:p w14:paraId="0000002A" w14:textId="77777777" w:rsidR="00C3467B" w:rsidRPr="00563545" w:rsidRDefault="00470279">
            <w:pPr>
              <w:cnfStyle w:val="000000100000" w:firstRow="0" w:lastRow="0" w:firstColumn="0" w:lastColumn="0" w:oddVBand="0" w:evenVBand="0" w:oddHBand="1" w:evenHBand="0" w:firstRowFirstColumn="0" w:firstRowLastColumn="0" w:lastRowFirstColumn="0" w:lastRowLastColumn="0"/>
            </w:pPr>
            <w:r w:rsidRPr="00563545">
              <w:t>9.71</w:t>
            </w:r>
          </w:p>
        </w:tc>
        <w:tc>
          <w:tcPr>
            <w:tcW w:w="1389" w:type="dxa"/>
            <w:tcBorders>
              <w:top w:val="single" w:sz="12" w:space="0" w:color="666666"/>
            </w:tcBorders>
            <w:shd w:val="clear" w:color="auto" w:fill="FFFFFF"/>
          </w:tcPr>
          <w:p w14:paraId="0000002B" w14:textId="77777777" w:rsidR="00C3467B" w:rsidRPr="00563545" w:rsidRDefault="00470279">
            <w:pPr>
              <w:cnfStyle w:val="000000100000" w:firstRow="0" w:lastRow="0" w:firstColumn="0" w:lastColumn="0" w:oddVBand="0" w:evenVBand="0" w:oddHBand="1" w:evenHBand="0" w:firstRowFirstColumn="0" w:firstRowLastColumn="0" w:lastRowFirstColumn="0" w:lastRowLastColumn="0"/>
            </w:pPr>
            <w:r w:rsidRPr="00563545">
              <w:t>5.1</w:t>
            </w:r>
          </w:p>
        </w:tc>
        <w:tc>
          <w:tcPr>
            <w:tcW w:w="1908" w:type="dxa"/>
            <w:tcBorders>
              <w:top w:val="single" w:sz="12" w:space="0" w:color="666666"/>
            </w:tcBorders>
            <w:shd w:val="clear" w:color="auto" w:fill="FFFFFF"/>
          </w:tcPr>
          <w:p w14:paraId="0000002C" w14:textId="77777777" w:rsidR="00C3467B" w:rsidRPr="00563545" w:rsidRDefault="00470279">
            <w:pPr>
              <w:cnfStyle w:val="000000100000" w:firstRow="0" w:lastRow="0" w:firstColumn="0" w:lastColumn="0" w:oddVBand="0" w:evenVBand="0" w:oddHBand="1" w:evenHBand="0" w:firstRowFirstColumn="0" w:firstRowLastColumn="0" w:lastRowFirstColumn="0" w:lastRowLastColumn="0"/>
            </w:pPr>
            <w:r w:rsidRPr="00563545">
              <w:t>1.6</w:t>
            </w:r>
          </w:p>
        </w:tc>
        <w:tc>
          <w:tcPr>
            <w:tcW w:w="1485" w:type="dxa"/>
            <w:tcBorders>
              <w:top w:val="single" w:sz="12" w:space="0" w:color="666666"/>
            </w:tcBorders>
            <w:shd w:val="clear" w:color="auto" w:fill="FFFFFF"/>
          </w:tcPr>
          <w:p w14:paraId="0000002D" w14:textId="77777777" w:rsidR="00C3467B" w:rsidRPr="00563545" w:rsidRDefault="00470279">
            <w:pPr>
              <w:cnfStyle w:val="000000100000" w:firstRow="0" w:lastRow="0" w:firstColumn="0" w:lastColumn="0" w:oddVBand="0" w:evenVBand="0" w:oddHBand="1" w:evenHBand="0" w:firstRowFirstColumn="0" w:firstRowLastColumn="0" w:lastRowFirstColumn="0" w:lastRowLastColumn="0"/>
            </w:pPr>
            <w:r w:rsidRPr="00563545">
              <w:t>10</w:t>
            </w:r>
          </w:p>
        </w:tc>
        <w:tc>
          <w:tcPr>
            <w:tcW w:w="1485" w:type="dxa"/>
            <w:tcBorders>
              <w:top w:val="single" w:sz="12" w:space="0" w:color="666666"/>
            </w:tcBorders>
            <w:shd w:val="clear" w:color="auto" w:fill="FFFFFF"/>
          </w:tcPr>
          <w:p w14:paraId="0000002E" w14:textId="77777777" w:rsidR="00C3467B" w:rsidRPr="00563545" w:rsidRDefault="00470279">
            <w:pPr>
              <w:cnfStyle w:val="000000100000" w:firstRow="0" w:lastRow="0" w:firstColumn="0" w:lastColumn="0" w:oddVBand="0" w:evenVBand="0" w:oddHBand="1" w:evenHBand="0" w:firstRowFirstColumn="0" w:firstRowLastColumn="0" w:lastRowFirstColumn="0" w:lastRowLastColumn="0"/>
            </w:pPr>
            <w:r w:rsidRPr="00563545">
              <w:t>18</w:t>
            </w:r>
          </w:p>
        </w:tc>
      </w:tr>
    </w:tbl>
    <w:p w14:paraId="0000002F" w14:textId="77777777" w:rsidR="00C3467B" w:rsidRPr="00563545" w:rsidRDefault="00C3467B">
      <w:pPr>
        <w:widowControl w:val="0"/>
        <w:pBdr>
          <w:top w:val="nil"/>
          <w:left w:val="nil"/>
          <w:bottom w:val="nil"/>
          <w:right w:val="nil"/>
          <w:between w:val="nil"/>
        </w:pBdr>
        <w:spacing w:after="0"/>
      </w:pPr>
    </w:p>
    <w:tbl>
      <w:tblPr>
        <w:tblStyle w:val="a0"/>
        <w:tblW w:w="9026" w:type="dxa"/>
        <w:tblBorders>
          <w:top w:val="single" w:sz="4" w:space="0" w:color="000000"/>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1398"/>
        <w:gridCol w:w="1388"/>
        <w:gridCol w:w="1379"/>
        <w:gridCol w:w="1880"/>
        <w:gridCol w:w="1490"/>
        <w:gridCol w:w="1491"/>
      </w:tblGrid>
      <w:tr w:rsidR="00C3467B" w:rsidRPr="00563545" w14:paraId="507EF855" w14:textId="77777777">
        <w:tc>
          <w:tcPr>
            <w:tcW w:w="1398" w:type="dxa"/>
            <w:shd w:val="clear" w:color="auto" w:fill="FFFFFF"/>
          </w:tcPr>
          <w:p w14:paraId="00000030" w14:textId="77777777" w:rsidR="00C3467B" w:rsidRPr="00563545" w:rsidRDefault="00470279">
            <w:r w:rsidRPr="00563545">
              <w:t>γ-Fe</w:t>
            </w:r>
            <w:r w:rsidRPr="00563545">
              <w:rPr>
                <w:vertAlign w:val="subscript"/>
              </w:rPr>
              <w:t>2</w:t>
            </w:r>
            <w:r w:rsidRPr="00563545">
              <w:t>O</w:t>
            </w:r>
            <w:r w:rsidRPr="00563545">
              <w:rPr>
                <w:vertAlign w:val="subscript"/>
              </w:rPr>
              <w:t>3</w:t>
            </w:r>
          </w:p>
        </w:tc>
        <w:tc>
          <w:tcPr>
            <w:tcW w:w="1388" w:type="dxa"/>
            <w:shd w:val="clear" w:color="auto" w:fill="FFFFFF"/>
          </w:tcPr>
          <w:p w14:paraId="00000031" w14:textId="77777777" w:rsidR="00C3467B" w:rsidRPr="00563545" w:rsidRDefault="00470279">
            <w:r w:rsidRPr="00563545">
              <w:t>2.74</w:t>
            </w:r>
          </w:p>
        </w:tc>
        <w:tc>
          <w:tcPr>
            <w:tcW w:w="1379" w:type="dxa"/>
            <w:shd w:val="clear" w:color="auto" w:fill="FFFFFF"/>
          </w:tcPr>
          <w:p w14:paraId="00000032" w14:textId="77777777" w:rsidR="00C3467B" w:rsidRPr="00563545" w:rsidRDefault="00470279">
            <w:r w:rsidRPr="00563545">
              <w:t>4.9</w:t>
            </w:r>
          </w:p>
        </w:tc>
        <w:tc>
          <w:tcPr>
            <w:tcW w:w="1880" w:type="dxa"/>
            <w:shd w:val="clear" w:color="auto" w:fill="FFFFFF"/>
          </w:tcPr>
          <w:p w14:paraId="00000033" w14:textId="77777777" w:rsidR="00C3467B" w:rsidRPr="00563545" w:rsidRDefault="00470279">
            <w:r w:rsidRPr="00563545">
              <w:t>2.2</w:t>
            </w:r>
          </w:p>
        </w:tc>
        <w:tc>
          <w:tcPr>
            <w:tcW w:w="1490" w:type="dxa"/>
            <w:shd w:val="clear" w:color="auto" w:fill="FFFFFF"/>
          </w:tcPr>
          <w:p w14:paraId="00000034" w14:textId="77777777" w:rsidR="00C3467B" w:rsidRPr="00563545" w:rsidRDefault="00470279">
            <w:r w:rsidRPr="00563545">
              <w:t>10</w:t>
            </w:r>
          </w:p>
        </w:tc>
        <w:tc>
          <w:tcPr>
            <w:tcW w:w="1491" w:type="dxa"/>
            <w:shd w:val="clear" w:color="auto" w:fill="FFFFFF"/>
          </w:tcPr>
          <w:p w14:paraId="00000035" w14:textId="77777777" w:rsidR="00C3467B" w:rsidRPr="00563545" w:rsidRDefault="00470279">
            <w:r w:rsidRPr="00563545">
              <w:t>10</w:t>
            </w:r>
          </w:p>
        </w:tc>
      </w:tr>
    </w:tbl>
    <w:p w14:paraId="00000036" w14:textId="77777777" w:rsidR="00C3467B" w:rsidRPr="00563545" w:rsidRDefault="00C3467B">
      <w:pPr>
        <w:widowControl w:val="0"/>
        <w:pBdr>
          <w:top w:val="nil"/>
          <w:left w:val="nil"/>
          <w:bottom w:val="nil"/>
          <w:right w:val="nil"/>
          <w:between w:val="nil"/>
        </w:pBdr>
        <w:spacing w:after="0"/>
      </w:pPr>
    </w:p>
    <w:tbl>
      <w:tblPr>
        <w:tblStyle w:val="a1"/>
        <w:tblW w:w="9026" w:type="dxa"/>
        <w:tblBorders>
          <w:top w:val="single" w:sz="4" w:space="0" w:color="000000"/>
          <w:left w:val="nil"/>
          <w:bottom w:val="single" w:sz="4" w:space="0" w:color="000000"/>
          <w:right w:val="nil"/>
          <w:insideH w:val="single" w:sz="4" w:space="0" w:color="000000"/>
          <w:insideV w:val="nil"/>
        </w:tblBorders>
        <w:tblLayout w:type="fixed"/>
        <w:tblLook w:val="04A0" w:firstRow="1" w:lastRow="0" w:firstColumn="1" w:lastColumn="0" w:noHBand="0" w:noVBand="1"/>
      </w:tblPr>
      <w:tblGrid>
        <w:gridCol w:w="1397"/>
        <w:gridCol w:w="1387"/>
        <w:gridCol w:w="1387"/>
        <w:gridCol w:w="1878"/>
        <w:gridCol w:w="1488"/>
        <w:gridCol w:w="1489"/>
      </w:tblGrid>
      <w:tr w:rsidR="00C3467B" w:rsidRPr="00563545" w14:paraId="3209BF81" w14:textId="77777777" w:rsidTr="00C346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7" w:type="dxa"/>
            <w:shd w:val="clear" w:color="auto" w:fill="FFFFFF"/>
          </w:tcPr>
          <w:p w14:paraId="00000037" w14:textId="77777777" w:rsidR="00C3467B" w:rsidRPr="00563545" w:rsidRDefault="00470279">
            <w:r w:rsidRPr="00563545">
              <w:rPr>
                <w:b w:val="0"/>
              </w:rPr>
              <w:t>α-Fe</w:t>
            </w:r>
            <w:r w:rsidRPr="00563545">
              <w:rPr>
                <w:b w:val="0"/>
                <w:vertAlign w:val="subscript"/>
              </w:rPr>
              <w:t>2</w:t>
            </w:r>
            <w:r w:rsidRPr="00563545">
              <w:rPr>
                <w:b w:val="0"/>
              </w:rPr>
              <w:t>O</w:t>
            </w:r>
            <w:r w:rsidRPr="00563545">
              <w:rPr>
                <w:b w:val="0"/>
                <w:vertAlign w:val="subscript"/>
              </w:rPr>
              <w:t>3</w:t>
            </w:r>
          </w:p>
        </w:tc>
        <w:tc>
          <w:tcPr>
            <w:tcW w:w="1387" w:type="dxa"/>
            <w:shd w:val="clear" w:color="auto" w:fill="FFFFFF"/>
          </w:tcPr>
          <w:p w14:paraId="00000038"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rPr>
                <w:b w:val="0"/>
              </w:rPr>
              <w:t>5.31</w:t>
            </w:r>
          </w:p>
        </w:tc>
        <w:tc>
          <w:tcPr>
            <w:tcW w:w="1387" w:type="dxa"/>
            <w:shd w:val="clear" w:color="auto" w:fill="FFFFFF"/>
          </w:tcPr>
          <w:p w14:paraId="00000039"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rPr>
                <w:b w:val="0"/>
              </w:rPr>
              <w:t>5.24</w:t>
            </w:r>
          </w:p>
        </w:tc>
        <w:tc>
          <w:tcPr>
            <w:tcW w:w="1878" w:type="dxa"/>
            <w:shd w:val="clear" w:color="auto" w:fill="FFFFFF"/>
          </w:tcPr>
          <w:p w14:paraId="0000003A"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rPr>
                <w:b w:val="0"/>
              </w:rPr>
              <w:t>1.0</w:t>
            </w:r>
          </w:p>
        </w:tc>
        <w:tc>
          <w:tcPr>
            <w:tcW w:w="1488" w:type="dxa"/>
            <w:shd w:val="clear" w:color="auto" w:fill="FFFFFF"/>
          </w:tcPr>
          <w:p w14:paraId="0000003B"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rPr>
                <w:b w:val="0"/>
              </w:rPr>
              <w:t>10</w:t>
            </w:r>
          </w:p>
        </w:tc>
        <w:tc>
          <w:tcPr>
            <w:tcW w:w="1489" w:type="dxa"/>
            <w:shd w:val="clear" w:color="auto" w:fill="FFFFFF"/>
          </w:tcPr>
          <w:p w14:paraId="0000003C" w14:textId="77777777" w:rsidR="00C3467B" w:rsidRPr="00563545" w:rsidRDefault="00470279">
            <w:pPr>
              <w:cnfStyle w:val="100000000000" w:firstRow="1" w:lastRow="0" w:firstColumn="0" w:lastColumn="0" w:oddVBand="0" w:evenVBand="0" w:oddHBand="0" w:evenHBand="0" w:firstRowFirstColumn="0" w:firstRowLastColumn="0" w:lastRowFirstColumn="0" w:lastRowLastColumn="0"/>
            </w:pPr>
            <w:r w:rsidRPr="00563545">
              <w:rPr>
                <w:b w:val="0"/>
              </w:rPr>
              <w:t>10</w:t>
            </w:r>
          </w:p>
        </w:tc>
      </w:tr>
    </w:tbl>
    <w:p w14:paraId="0000003D" w14:textId="26094207" w:rsidR="00C3467B" w:rsidRPr="00563545" w:rsidRDefault="00C90FA6">
      <w:pPr>
        <w:spacing w:after="0" w:line="240" w:lineRule="auto"/>
        <w:rPr>
          <w:b/>
        </w:rPr>
      </w:pPr>
      <w:r w:rsidRPr="002B62EC">
        <w:rPr>
          <w:rFonts w:asciiTheme="minorHAnsi" w:hAnsiTheme="minorHAnsi" w:cstheme="minorHAnsi"/>
          <w:color w:val="1C1D1E"/>
          <w:vertAlign w:val="superscript"/>
          <w:lang w:val="en"/>
        </w:rPr>
        <w:t>†</w:t>
      </w:r>
      <w:r w:rsidR="00470279" w:rsidRPr="00563545">
        <w:t xml:space="preserve">see main text, </w:t>
      </w:r>
      <w:r w:rsidRPr="002B62EC">
        <w:rPr>
          <w:rFonts w:asciiTheme="minorHAnsi" w:hAnsiTheme="minorHAnsi" w:cstheme="minorHAnsi"/>
          <w:color w:val="1C1D1E"/>
          <w:vertAlign w:val="superscript"/>
          <w:lang w:val="en"/>
        </w:rPr>
        <w:t>‡</w:t>
      </w:r>
      <w:r w:rsidR="00470279" w:rsidRPr="00563545">
        <w:t>manufa</w:t>
      </w:r>
      <w:r w:rsidR="00356132">
        <w:t xml:space="preserve">cturers data, </w:t>
      </w:r>
      <w:r w:rsidRPr="002B62EC">
        <w:rPr>
          <w:rFonts w:asciiTheme="minorHAnsi" w:hAnsiTheme="minorHAnsi" w:cstheme="minorHAnsi"/>
          <w:color w:val="1C1D1E"/>
          <w:vertAlign w:val="superscript"/>
          <w:lang w:val="en"/>
        </w:rPr>
        <w:t>§</w:t>
      </w:r>
      <w:bookmarkStart w:id="3" w:name="_GoBack"/>
      <w:bookmarkEnd w:id="3"/>
      <w:r w:rsidR="00356132">
        <w:t xml:space="preserve">Saunders et al </w:t>
      </w:r>
      <w:r w:rsidR="00356132" w:rsidRPr="00356132">
        <w:rPr>
          <w:vertAlign w:val="superscript"/>
        </w:rPr>
        <w:t>1</w:t>
      </w:r>
    </w:p>
    <w:p w14:paraId="0000003E" w14:textId="77777777" w:rsidR="00C3467B" w:rsidRPr="00563545" w:rsidRDefault="00C3467B">
      <w:pPr>
        <w:spacing w:line="360" w:lineRule="auto"/>
        <w:rPr>
          <w:b/>
        </w:rPr>
      </w:pPr>
    </w:p>
    <w:p w14:paraId="0000003F" w14:textId="4C18013C" w:rsidR="00C3467B" w:rsidRPr="00FF3711" w:rsidRDefault="00470279" w:rsidP="00FF3711">
      <w:pPr>
        <w:pStyle w:val="ListParagraph"/>
        <w:numPr>
          <w:ilvl w:val="0"/>
          <w:numId w:val="2"/>
        </w:numPr>
        <w:spacing w:after="0" w:line="480" w:lineRule="auto"/>
        <w:ind w:left="284" w:hanging="284"/>
        <w:rPr>
          <w:b/>
        </w:rPr>
      </w:pPr>
      <w:r w:rsidRPr="00FF3711">
        <w:rPr>
          <w:b/>
        </w:rPr>
        <w:t xml:space="preserve">Additional Dose Metrics </w:t>
      </w:r>
    </w:p>
    <w:p w14:paraId="00000040" w14:textId="49B4681C" w:rsidR="00C3467B" w:rsidRPr="00563545" w:rsidRDefault="00470279">
      <w:pPr>
        <w:spacing w:after="0" w:line="480" w:lineRule="auto"/>
      </w:pPr>
      <w:r w:rsidRPr="00563545">
        <w:t>While mass has traditionally been used as the biologically effective dose metric for soluble toxins, for non- or poorly-soluble nanoparticles, a category which a lot of nanoparticles fall into, where only the surface of the particle can interact with biological fluids and tissues, surface area, particle number and volume have all been suggested as more relevant dose metrics</w:t>
      </w:r>
      <w:r w:rsidR="00356132">
        <w:t xml:space="preserve"> </w:t>
      </w:r>
      <w:r w:rsidR="00356132" w:rsidRPr="00356132">
        <w:rPr>
          <w:vertAlign w:val="superscript"/>
        </w:rPr>
        <w:t>2</w:t>
      </w:r>
      <w:r w:rsidR="00425DCE">
        <w:rPr>
          <w:vertAlign w:val="superscript"/>
        </w:rPr>
        <w:t>-7</w:t>
      </w:r>
      <w:r w:rsidRPr="00563545">
        <w:t>. Schmid and Stoeger</w:t>
      </w:r>
      <w:r w:rsidR="00FA3C21" w:rsidRPr="00FA3C21">
        <w:rPr>
          <w:vertAlign w:val="superscript"/>
        </w:rPr>
        <w:t>8</w:t>
      </w:r>
      <w:r w:rsidRPr="00563545">
        <w:t xml:space="preserve"> provides a useful summary on the matter. </w:t>
      </w:r>
      <w:r w:rsidR="00563545" w:rsidRPr="00563545">
        <w:t>W</w:t>
      </w:r>
      <w:r w:rsidRPr="00563545">
        <w:t xml:space="preserve">hile there is no consensus on the most relevant dose metric to use, and with the answer being unlikely to be a simple, single, “catch-all” metric, where possible mass, surface area, number and volume should be reported. Details are given below of the particle number, surface area and volume calculations used in this study. </w:t>
      </w:r>
    </w:p>
    <w:p w14:paraId="00000041" w14:textId="77777777" w:rsidR="00C3467B" w:rsidRPr="00563545" w:rsidRDefault="00C3467B">
      <w:pPr>
        <w:spacing w:after="0" w:line="480" w:lineRule="auto"/>
        <w:rPr>
          <w:b/>
          <w:i/>
        </w:rPr>
      </w:pPr>
    </w:p>
    <w:p w14:paraId="00000042" w14:textId="77777777" w:rsidR="00C3467B" w:rsidRPr="00563545" w:rsidRDefault="00470279">
      <w:pPr>
        <w:spacing w:after="0" w:line="480" w:lineRule="auto"/>
        <w:rPr>
          <w:b/>
          <w:i/>
        </w:rPr>
      </w:pPr>
      <w:r w:rsidRPr="00563545">
        <w:rPr>
          <w:b/>
          <w:i/>
        </w:rPr>
        <w:t>Particle Number</w:t>
      </w:r>
    </w:p>
    <w:p w14:paraId="00000043" w14:textId="5D196CC5" w:rsidR="00C3467B" w:rsidRPr="00563545" w:rsidRDefault="00470279">
      <w:pPr>
        <w:spacing w:after="0" w:line="480" w:lineRule="auto"/>
      </w:pPr>
      <w:r w:rsidRPr="00563545">
        <w:t>Agglomerate number concentrations are measured directly, primary particle number concentrations are more complex to determine. For the aerosols delivered in the inhalation study, two methods have been used to calculate the primary particle number concentration: one based on the measured mass concentration</w:t>
      </w:r>
      <w:r w:rsidR="00FA3C21" w:rsidRPr="00FA3C21">
        <w:rPr>
          <w:vertAlign w:val="superscript"/>
        </w:rPr>
        <w:t>8</w:t>
      </w:r>
      <w:r w:rsidR="00FA3C21">
        <w:t xml:space="preserve"> </w:t>
      </w:r>
      <w:r w:rsidRPr="00563545">
        <w:t>and the other using the mobility equivalent size distribution measured by SMPS</w:t>
      </w:r>
      <w:r w:rsidR="00384D2D">
        <w:t xml:space="preserve"> </w:t>
      </w:r>
      <w:r w:rsidR="00384D2D">
        <w:lastRenderedPageBreak/>
        <w:t xml:space="preserve">suggested by </w:t>
      </w:r>
      <w:proofErr w:type="spellStart"/>
      <w:r w:rsidR="00384D2D">
        <w:t>Lall</w:t>
      </w:r>
      <w:proofErr w:type="spellEnd"/>
      <w:r w:rsidR="00384D2D">
        <w:t xml:space="preserve"> and Friedlander </w:t>
      </w:r>
      <w:r w:rsidR="00384D2D" w:rsidRPr="00384D2D">
        <w:rPr>
          <w:vertAlign w:val="superscript"/>
        </w:rPr>
        <w:t>9</w:t>
      </w:r>
      <w:r w:rsidRPr="00563545">
        <w:t xml:space="preserve">. Both require accurate knowledge of the primary particle diameter from TEM measurements. </w:t>
      </w:r>
    </w:p>
    <w:p w14:paraId="00000044" w14:textId="77777777" w:rsidR="00C3467B" w:rsidRPr="00563545" w:rsidRDefault="00C3467B">
      <w:pPr>
        <w:spacing w:after="0" w:line="480" w:lineRule="auto"/>
      </w:pPr>
    </w:p>
    <w:p w14:paraId="00000045" w14:textId="77777777" w:rsidR="00C3467B" w:rsidRPr="00563545" w:rsidRDefault="00470279">
      <w:pPr>
        <w:spacing w:after="0" w:line="480" w:lineRule="auto"/>
      </w:pPr>
      <w:r w:rsidRPr="00563545">
        <w:t xml:space="preserve">The first method uses the average primary particle diameter, </w:t>
      </w:r>
      <w:proofErr w:type="spellStart"/>
      <w:r w:rsidRPr="00563545">
        <w:rPr>
          <w:i/>
        </w:rPr>
        <w:t>d</w:t>
      </w:r>
      <w:r w:rsidRPr="00563545">
        <w:rPr>
          <w:i/>
          <w:vertAlign w:val="subscript"/>
        </w:rPr>
        <w:t>p</w:t>
      </w:r>
      <w:proofErr w:type="spellEnd"/>
      <w:r w:rsidRPr="00563545">
        <w:t xml:space="preserve">, measured from TEM images and the average mass concentration, </w:t>
      </w:r>
      <w:r w:rsidRPr="00563545">
        <w:rPr>
          <w:i/>
        </w:rPr>
        <w:t>M</w:t>
      </w:r>
      <w:r w:rsidRPr="00563545">
        <w:t xml:space="preserve">, calculated from gravimetric measurements, and assuming all primary particles are spherical and have inherent material density, </w:t>
      </w:r>
      <w:r w:rsidRPr="00563545">
        <w:rPr>
          <w:i/>
        </w:rPr>
        <w:t>ρ</w:t>
      </w:r>
      <w:r w:rsidRPr="00563545">
        <w:t xml:space="preserve">, the primary particle concentration, </w:t>
      </w:r>
      <w:r w:rsidRPr="00563545">
        <w:rPr>
          <w:i/>
        </w:rPr>
        <w:t>N</w:t>
      </w:r>
      <w:r w:rsidRPr="00563545">
        <w:rPr>
          <w:i/>
          <w:vertAlign w:val="subscript"/>
        </w:rPr>
        <w:t>p</w:t>
      </w:r>
      <w:r w:rsidRPr="00563545">
        <w:t>, can be estimated as follows:</w:t>
      </w:r>
    </w:p>
    <w:p w14:paraId="00000046"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p</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6M</m:t>
              </m:r>
            </m:num>
            <m:den>
              <m:r>
                <w:rPr>
                  <w:rFonts w:ascii="Cambria Math" w:eastAsia="Cambria Math" w:hAnsi="Cambria Math" w:cs="Cambria Math"/>
                </w:rPr>
                <m:t>πρ</m:t>
              </m:r>
              <m:sSubSup>
                <m:sSubSupPr>
                  <m:ctrlPr>
                    <w:rPr>
                      <w:rFonts w:ascii="Cambria Math" w:eastAsia="Cambria Math" w:hAnsi="Cambria Math" w:cs="Cambria Math"/>
                    </w:rPr>
                  </m:ctrlPr>
                </m:sSubSupPr>
                <m:e>
                  <m:r>
                    <w:rPr>
                      <w:rFonts w:ascii="Cambria Math" w:eastAsia="Cambria Math" w:hAnsi="Cambria Math" w:cs="Cambria Math"/>
                    </w:rPr>
                    <m:t>d</m:t>
                  </m:r>
                </m:e>
                <m:sub>
                  <m:r>
                    <w:rPr>
                      <w:rFonts w:ascii="Cambria Math" w:eastAsia="Cambria Math" w:hAnsi="Cambria Math" w:cs="Cambria Math"/>
                    </w:rPr>
                    <m:t>p</m:t>
                  </m:r>
                </m:sub>
                <m:sup>
                  <m:r>
                    <w:rPr>
                      <w:rFonts w:ascii="Cambria Math" w:eastAsia="Cambria Math" w:hAnsi="Cambria Math" w:cs="Cambria Math"/>
                    </w:rPr>
                    <m:t>3</m:t>
                  </m:r>
                </m:sup>
              </m:sSubSup>
            </m:den>
          </m:f>
        </m:oMath>
      </m:oMathPara>
    </w:p>
    <w:p w14:paraId="00000047" w14:textId="336EAA9E" w:rsidR="00C3467B" w:rsidRPr="00563545" w:rsidRDefault="00470279">
      <w:pPr>
        <w:spacing w:after="0" w:line="480" w:lineRule="auto"/>
      </w:pPr>
      <w:r w:rsidRPr="00563545">
        <w:t xml:space="preserve">For comparison, </w:t>
      </w:r>
      <w:r w:rsidRPr="00563545">
        <w:rPr>
          <w:i/>
        </w:rPr>
        <w:t>N</w:t>
      </w:r>
      <w:r w:rsidRPr="00563545">
        <w:rPr>
          <w:i/>
          <w:vertAlign w:val="subscript"/>
        </w:rPr>
        <w:t>p</w:t>
      </w:r>
      <w:r w:rsidRPr="00563545">
        <w:t xml:space="preserve">, was also estimated from the aerosol size distribution and primary particle diameter. </w:t>
      </w:r>
      <w:proofErr w:type="spellStart"/>
      <w:r w:rsidRPr="00563545">
        <w:t>Lall</w:t>
      </w:r>
      <w:proofErr w:type="spellEnd"/>
      <w:r w:rsidRPr="00563545">
        <w:t xml:space="preserve"> and Friedlander</w:t>
      </w:r>
      <w:r w:rsidR="00384D2D">
        <w:t xml:space="preserve"> </w:t>
      </w:r>
      <w:r w:rsidR="00384D2D" w:rsidRPr="00384D2D">
        <w:rPr>
          <w:vertAlign w:val="superscript"/>
        </w:rPr>
        <w:t>9</w:t>
      </w:r>
      <w:r w:rsidRPr="00563545">
        <w:t xml:space="preserve"> related the number of primary particles per agglomerate, </w:t>
      </w:r>
      <w:r w:rsidRPr="00563545">
        <w:rPr>
          <w:i/>
        </w:rPr>
        <w:t>N</w:t>
      </w:r>
      <w:r w:rsidRPr="00563545">
        <w:t xml:space="preserve">, to mobility size for agglomerates, </w:t>
      </w:r>
      <w:r w:rsidRPr="00563545">
        <w:rPr>
          <w:i/>
        </w:rPr>
        <w:t>d</w:t>
      </w:r>
      <w:r w:rsidRPr="00563545">
        <w:rPr>
          <w:i/>
          <w:vertAlign w:val="subscript"/>
        </w:rPr>
        <w:t>m</w:t>
      </w:r>
      <w:r w:rsidRPr="00563545">
        <w:t>, using the following expression:</w:t>
      </w:r>
    </w:p>
    <w:p w14:paraId="00000048" w14:textId="77777777" w:rsidR="00C3467B" w:rsidRPr="00563545" w:rsidRDefault="00470279">
      <w:pPr>
        <w:jc w:val="center"/>
        <w:rPr>
          <w:rFonts w:ascii="Cambria Math" w:eastAsia="Cambria Math" w:hAnsi="Cambria Math" w:cs="Cambria Math"/>
        </w:rPr>
      </w:pPr>
      <m:oMathPara>
        <m:oMath>
          <m:r>
            <w:rPr>
              <w:rFonts w:ascii="Cambria Math" w:eastAsia="Cambria Math" w:hAnsi="Cambria Math" w:cs="Cambria Math"/>
            </w:rPr>
            <m:t>N=</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m</m:t>
                  </m:r>
                </m:sub>
              </m:sSub>
            </m:num>
            <m:den>
              <m:r>
                <w:rPr>
                  <w:rFonts w:ascii="Cambria Math" w:eastAsia="Cambria Math" w:hAnsi="Cambria Math" w:cs="Cambria Math"/>
                </w:rPr>
                <m:t>C(</m:t>
              </m:r>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m</m:t>
                  </m:r>
                </m:sub>
              </m:sSub>
              <m:r>
                <w:rPr>
                  <w:rFonts w:ascii="Cambria Math" w:eastAsia="Cambria Math" w:hAnsi="Cambria Math" w:cs="Cambria Math"/>
                </w:rPr>
                <m:t>)</m:t>
              </m:r>
            </m:den>
          </m:f>
          <m:f>
            <m:fPr>
              <m:ctrlPr>
                <w:rPr>
                  <w:rFonts w:ascii="Cambria Math" w:eastAsia="Cambria Math" w:hAnsi="Cambria Math" w:cs="Cambria Math"/>
                </w:rPr>
              </m:ctrlPr>
            </m:fPr>
            <m:num>
              <m:r>
                <w:rPr>
                  <w:rFonts w:ascii="Cambria Math" w:eastAsia="Cambria Math" w:hAnsi="Cambria Math" w:cs="Cambria Math"/>
                </w:rPr>
                <m:t>12πλ</m:t>
              </m:r>
            </m:num>
            <m:den>
              <m:sSup>
                <m:sSupPr>
                  <m:ctrlPr>
                    <w:rPr>
                      <w:rFonts w:ascii="Cambria Math" w:eastAsia="Cambria Math" w:hAnsi="Cambria Math" w:cs="Cambria Math"/>
                    </w:rPr>
                  </m:ctrlPr>
                </m:sSupPr>
                <m:e>
                  <m:r>
                    <w:rPr>
                      <w:rFonts w:ascii="Cambria Math" w:eastAsia="Cambria Math" w:hAnsi="Cambria Math" w:cs="Cambria Math"/>
                    </w:rPr>
                    <m:t>c</m:t>
                  </m:r>
                </m:e>
                <m:sup>
                  <m:r>
                    <w:rPr>
                      <w:rFonts w:ascii="Cambria Math" w:eastAsia="Cambria Math" w:hAnsi="Cambria Math" w:cs="Cambria Math"/>
                    </w:rPr>
                    <m:t>*</m:t>
                  </m:r>
                </m:sup>
              </m:sSup>
              <m:sSubSup>
                <m:sSubSupPr>
                  <m:ctrlPr>
                    <w:rPr>
                      <w:rFonts w:ascii="Cambria Math" w:eastAsia="Cambria Math" w:hAnsi="Cambria Math" w:cs="Cambria Math"/>
                    </w:rPr>
                  </m:ctrlPr>
                </m:sSubSupPr>
                <m:e>
                  <m:r>
                    <w:rPr>
                      <w:rFonts w:ascii="Cambria Math" w:eastAsia="Cambria Math" w:hAnsi="Cambria Math" w:cs="Cambria Math"/>
                    </w:rPr>
                    <m:t>d</m:t>
                  </m:r>
                </m:e>
                <m:sub>
                  <m:r>
                    <w:rPr>
                      <w:rFonts w:ascii="Cambria Math" w:eastAsia="Cambria Math" w:hAnsi="Cambria Math" w:cs="Cambria Math"/>
                    </w:rPr>
                    <m:t>p</m:t>
                  </m:r>
                </m:sub>
                <m:sup>
                  <m:r>
                    <w:rPr>
                      <w:rFonts w:ascii="Cambria Math" w:eastAsia="Cambria Math" w:hAnsi="Cambria Math" w:cs="Cambria Math"/>
                    </w:rPr>
                    <m:t>2</m:t>
                  </m:r>
                </m:sup>
              </m:sSubSup>
            </m:den>
          </m:f>
        </m:oMath>
      </m:oMathPara>
    </w:p>
    <w:p w14:paraId="00000049" w14:textId="77777777" w:rsidR="00C3467B" w:rsidRPr="00563545" w:rsidRDefault="00470279">
      <w:pPr>
        <w:spacing w:after="0" w:line="480" w:lineRule="auto"/>
      </w:pPr>
      <w:r w:rsidRPr="00563545">
        <w:rPr>
          <w:color w:val="231F20"/>
        </w:rPr>
        <w:t xml:space="preserve">Where </w:t>
      </w:r>
      <w:r w:rsidRPr="00563545">
        <w:rPr>
          <w:i/>
          <w:color w:val="231F20"/>
        </w:rPr>
        <w:t>λ</w:t>
      </w:r>
      <w:r w:rsidRPr="00563545">
        <w:rPr>
          <w:color w:val="231F20"/>
        </w:rPr>
        <w:t xml:space="preserve"> is the mean free path of gas,</w:t>
      </w:r>
      <w:r w:rsidRPr="00563545">
        <w:rPr>
          <w:i/>
          <w:color w:val="231F20"/>
        </w:rPr>
        <w:t xml:space="preserve"> C(d</w:t>
      </w:r>
      <w:r w:rsidRPr="00563545">
        <w:rPr>
          <w:i/>
          <w:color w:val="231F20"/>
          <w:vertAlign w:val="subscript"/>
        </w:rPr>
        <w:t>m</w:t>
      </w:r>
      <w:r w:rsidRPr="00563545">
        <w:rPr>
          <w:i/>
          <w:color w:val="231F20"/>
        </w:rPr>
        <w:t>)</w:t>
      </w:r>
      <w:r w:rsidRPr="00563545">
        <w:rPr>
          <w:color w:val="231F20"/>
        </w:rPr>
        <w:t xml:space="preserve"> the Cunningham slip correction factor and </w:t>
      </w:r>
      <w:r w:rsidRPr="00563545">
        <w:rPr>
          <w:i/>
          <w:color w:val="231F20"/>
        </w:rPr>
        <w:t>c*</w:t>
      </w:r>
      <w:r w:rsidRPr="00563545">
        <w:rPr>
          <w:color w:val="231F20"/>
        </w:rPr>
        <w:t xml:space="preserve"> the dimensionless drag force, which for aggregates oriented parallel to their relative motion is equal to 6.62.</w:t>
      </w:r>
      <w:r w:rsidRPr="00563545">
        <w:t xml:space="preserve"> Applying this to each size bin of the measured mobility equivalent size distribution and summing over the distribution, the primary particle concentration can be estimated. </w:t>
      </w:r>
    </w:p>
    <w:p w14:paraId="0000004A" w14:textId="77777777" w:rsidR="00C3467B" w:rsidRPr="00563545" w:rsidRDefault="00C3467B">
      <w:pPr>
        <w:spacing w:after="0" w:line="480" w:lineRule="auto"/>
        <w:rPr>
          <w:b/>
          <w:i/>
        </w:rPr>
      </w:pPr>
    </w:p>
    <w:p w14:paraId="0000004B" w14:textId="77777777" w:rsidR="00C3467B" w:rsidRPr="00563545" w:rsidRDefault="00470279">
      <w:pPr>
        <w:spacing w:after="0" w:line="480" w:lineRule="auto"/>
        <w:rPr>
          <w:b/>
          <w:i/>
        </w:rPr>
      </w:pPr>
      <w:r w:rsidRPr="00563545">
        <w:rPr>
          <w:b/>
          <w:i/>
        </w:rPr>
        <w:t>Surface Area</w:t>
      </w:r>
    </w:p>
    <w:p w14:paraId="0000004C" w14:textId="30E7D14D" w:rsidR="00C3467B" w:rsidRPr="00563545" w:rsidRDefault="00470279">
      <w:pPr>
        <w:spacing w:after="0" w:line="480" w:lineRule="auto"/>
      </w:pPr>
      <w:r w:rsidRPr="00563545">
        <w:t>Surface area</w:t>
      </w:r>
      <w:r w:rsidR="007216B8" w:rsidRPr="00563545">
        <w:t xml:space="preserve"> (SA)</w:t>
      </w:r>
      <w:r w:rsidRPr="00563545">
        <w:t xml:space="preserve"> is of </w:t>
      </w:r>
      <w:proofErr w:type="gramStart"/>
      <w:r w:rsidRPr="00563545">
        <w:t>particular interest</w:t>
      </w:r>
      <w:proofErr w:type="gramEnd"/>
      <w:r w:rsidRPr="00563545">
        <w:t xml:space="preserve"> for ultrafine/nanoparticles due to their large surface area to mass ratio with numerous studies supporting surface area as an effective dose metric</w:t>
      </w:r>
      <w:r w:rsidR="00C10F8B">
        <w:rPr>
          <w:vertAlign w:val="superscript"/>
        </w:rPr>
        <w:t xml:space="preserve"> 2, 8, 1</w:t>
      </w:r>
      <w:r w:rsidR="00336255">
        <w:rPr>
          <w:vertAlign w:val="superscript"/>
        </w:rPr>
        <w:t>0-</w:t>
      </w:r>
      <w:r w:rsidR="00336255" w:rsidRPr="00336255">
        <w:rPr>
          <w:vertAlign w:val="superscript"/>
        </w:rPr>
        <w:t>15</w:t>
      </w:r>
      <w:r w:rsidR="00336255">
        <w:t xml:space="preserve">. </w:t>
      </w:r>
      <w:r w:rsidRPr="00336255">
        <w:t>Surface</w:t>
      </w:r>
      <w:r w:rsidRPr="00563545">
        <w:t xml:space="preserve"> area is a difficult quantity to define and measure though, with various definitions and methods used in the literature. </w:t>
      </w:r>
    </w:p>
    <w:p w14:paraId="0000004D" w14:textId="77777777" w:rsidR="00C3467B" w:rsidRPr="00563545" w:rsidRDefault="00C3467B">
      <w:pPr>
        <w:spacing w:after="0" w:line="480" w:lineRule="auto"/>
      </w:pPr>
    </w:p>
    <w:p w14:paraId="0000004E" w14:textId="5F8FC88A" w:rsidR="00C3467B" w:rsidRPr="00563545" w:rsidRDefault="00470279">
      <w:pPr>
        <w:spacing w:after="0" w:line="480" w:lineRule="auto"/>
      </w:pPr>
      <w:r w:rsidRPr="00563545">
        <w:t>Historically, the most commonly used method to measure the particulate surface area available for interaction in toxicological studies has been BET</w:t>
      </w:r>
      <w:r w:rsidR="00763319" w:rsidRPr="00763319">
        <w:rPr>
          <w:vertAlign w:val="superscript"/>
        </w:rPr>
        <w:t>16</w:t>
      </w:r>
      <w:r w:rsidRPr="00563545">
        <w:t xml:space="preserve">, which measures mass- specific surface area based </w:t>
      </w:r>
      <w:r w:rsidRPr="00563545">
        <w:lastRenderedPageBreak/>
        <w:t xml:space="preserve">on the physical adsorption of gas molecules, most commonly Nitrogen. This method is only appropriate for relatively large quantities of powder though, which in toxicology studies may not be available and in the case of inhalation exposures may not be representative of the material when in aerosol form. As the iron oxide particles used in this study were provided in aqueous suspension, BET was not possible as a method of surface area calculation. For comparison to previous works reported in the literature though, mass-specific surface areas shall be calculated.  </w:t>
      </w:r>
    </w:p>
    <w:p w14:paraId="0000004F" w14:textId="77777777" w:rsidR="00C3467B" w:rsidRPr="00563545" w:rsidRDefault="00C3467B">
      <w:pPr>
        <w:spacing w:after="0" w:line="480" w:lineRule="auto"/>
      </w:pPr>
    </w:p>
    <w:p w14:paraId="00000050" w14:textId="182B5A0E" w:rsidR="00C3467B" w:rsidRPr="00563545" w:rsidRDefault="00470279">
      <w:pPr>
        <w:spacing w:after="0" w:line="480" w:lineRule="auto"/>
      </w:pPr>
      <w:r w:rsidRPr="00563545">
        <w:t>Other instruments developed more recently use diffusion charging with subsequent measurement of particle induced electric current to measure particle surface area</w:t>
      </w:r>
      <w:r w:rsidR="000465F8" w:rsidRPr="000465F8">
        <w:rPr>
          <w:vertAlign w:val="superscript"/>
        </w:rPr>
        <w:t>17, 18</w:t>
      </w:r>
      <w:r w:rsidRPr="00563545">
        <w:t>. These measure “active (or Fuchs) surface area”, which refers to the part of the surface that causes friction in the carrier gas</w:t>
      </w:r>
      <w:r w:rsidR="000465F8" w:rsidRPr="000465F8">
        <w:rPr>
          <w:vertAlign w:val="superscript"/>
        </w:rPr>
        <w:t>19</w:t>
      </w:r>
      <w:r w:rsidRPr="00563545">
        <w:t xml:space="preserve">. </w:t>
      </w:r>
      <w:sdt>
        <w:sdtPr>
          <w:tag w:val="goog_rdk_1"/>
          <w:id w:val="1115100625"/>
        </w:sdtPr>
        <w:sdtEndPr/>
        <w:sdtContent/>
      </w:sdt>
      <w:r w:rsidRPr="00563545">
        <w:t>Particles with the same mobility diameter, whether a chain agglomerate or sphere, have the same active surface area. While active surface area is not generally considered to be biologically relevant, this type of instrument has shown promise for measuring non-porous spherical particles &lt;100nm where active surface area is equivalent to geometric surface area. As size increases though, the relationship between active SA and geometric SA diverge.</w:t>
      </w:r>
    </w:p>
    <w:p w14:paraId="00000051" w14:textId="77777777" w:rsidR="00C3467B" w:rsidRPr="00563545" w:rsidRDefault="00C3467B">
      <w:pPr>
        <w:spacing w:after="0" w:line="480" w:lineRule="auto"/>
      </w:pPr>
    </w:p>
    <w:p w14:paraId="00000052" w14:textId="6DE816C4" w:rsidR="00C3467B" w:rsidRPr="00563545" w:rsidRDefault="00470279">
      <w:pPr>
        <w:spacing w:after="0" w:line="480" w:lineRule="auto"/>
      </w:pPr>
      <w:r w:rsidRPr="00563545">
        <w:t>Active surface area can also be estimated from a SMPS size distribution for compact non-spherical particles</w:t>
      </w:r>
      <w:r w:rsidR="003B1A04" w:rsidRPr="003B1A04">
        <w:rPr>
          <w:vertAlign w:val="superscript"/>
        </w:rPr>
        <w:t>20</w:t>
      </w:r>
      <w:r w:rsidRPr="00563545">
        <w:t xml:space="preserve">. In this study, the SMPS software was used to obtain the surface area concentration from the measured number size distribution. The surface area concentration, calculation assumes that all the particles are perfect spheres and is calculated </w:t>
      </w:r>
      <w:sdt>
        <w:sdtPr>
          <w:tag w:val="goog_rdk_2"/>
          <w:id w:val="253789027"/>
        </w:sdtPr>
        <w:sdtEndPr/>
        <w:sdtContent/>
      </w:sdt>
      <w:r w:rsidRPr="00563545">
        <w:t>by:</w:t>
      </w:r>
    </w:p>
    <w:p w14:paraId="00000053" w14:textId="78BA7643" w:rsidR="00C3467B" w:rsidRPr="00563545" w:rsidRDefault="00470279">
      <w:pPr>
        <w:jc w:val="center"/>
        <w:rPr>
          <w:rFonts w:ascii="Cambria Math" w:eastAsia="Cambria Math" w:hAnsi="Cambria Math" w:cs="Cambria Math"/>
        </w:rPr>
      </w:pPr>
      <m:oMathPara>
        <m:oMath>
          <m:r>
            <w:rPr>
              <w:rFonts w:ascii="Cambria Math" w:eastAsia="Cambria Math" w:hAnsi="Cambria Math" w:cs="Cambria Math"/>
            </w:rPr>
            <m:t>dS=dN∙π</m:t>
          </m:r>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p</m:t>
                  </m:r>
                </m:sub>
              </m:sSub>
            </m:e>
            <m:sup>
              <m:r>
                <w:rPr>
                  <w:rFonts w:ascii="Cambria Math" w:eastAsia="Cambria Math" w:hAnsi="Cambria Math" w:cs="Cambria Math"/>
                </w:rPr>
                <m:t>2</m:t>
              </m:r>
            </m:sup>
          </m:sSup>
        </m:oMath>
      </m:oMathPara>
    </w:p>
    <w:p w14:paraId="00000054" w14:textId="77777777" w:rsidR="00C3467B" w:rsidRPr="00563545" w:rsidRDefault="00470279">
      <w:pPr>
        <w:spacing w:after="0" w:line="480" w:lineRule="auto"/>
      </w:pPr>
      <w:r w:rsidRPr="00563545">
        <w:t xml:space="preserve">Where </w:t>
      </w:r>
      <w:proofErr w:type="spellStart"/>
      <w:r w:rsidRPr="00563545">
        <w:rPr>
          <w:i/>
        </w:rPr>
        <w:t>D</w:t>
      </w:r>
      <w:r w:rsidRPr="00563545">
        <w:rPr>
          <w:i/>
          <w:vertAlign w:val="subscript"/>
        </w:rPr>
        <w:t>p</w:t>
      </w:r>
      <w:proofErr w:type="spellEnd"/>
      <w:r w:rsidRPr="00563545">
        <w:t xml:space="preserve"> is the geometric midpoint of the particle size channel. Total surface area concentration can be obtained by summing all the SMPS size channels.</w:t>
      </w:r>
    </w:p>
    <w:p w14:paraId="00000055" w14:textId="77777777" w:rsidR="00C3467B" w:rsidRPr="00563545" w:rsidRDefault="00C3467B">
      <w:pPr>
        <w:spacing w:after="0" w:line="480" w:lineRule="auto"/>
      </w:pPr>
    </w:p>
    <w:p w14:paraId="00000056" w14:textId="02D4F277" w:rsidR="00C3467B" w:rsidRPr="00563545" w:rsidRDefault="00470279">
      <w:pPr>
        <w:spacing w:after="0" w:line="480" w:lineRule="auto"/>
      </w:pPr>
      <w:r w:rsidRPr="00563545">
        <w:t>Geometric surface area d</w:t>
      </w:r>
      <w:sdt>
        <w:sdtPr>
          <w:tag w:val="goog_rdk_3"/>
          <w:id w:val="33085247"/>
        </w:sdtPr>
        <w:sdtEndPr/>
        <w:sdtContent/>
      </w:sdt>
      <w:sdt>
        <w:sdtPr>
          <w:tag w:val="goog_rdk_4"/>
          <w:id w:val="-377080776"/>
        </w:sdtPr>
        <w:sdtEndPr/>
        <w:sdtContent/>
      </w:sdt>
      <w:r w:rsidRPr="00563545">
        <w:t xml:space="preserve">escribes the total surface area of the primary particles. For spherical non-porous particles, it is </w:t>
      </w:r>
      <w:proofErr w:type="gramStart"/>
      <w:r w:rsidRPr="00563545">
        <w:t>similar to</w:t>
      </w:r>
      <w:proofErr w:type="gramEnd"/>
      <w:r w:rsidRPr="00563545">
        <w:t xml:space="preserve"> BET surface area. Schmid and Stoeger</w:t>
      </w:r>
      <w:r w:rsidR="003B1A04" w:rsidRPr="003B1A04">
        <w:rPr>
          <w:vertAlign w:val="superscript"/>
        </w:rPr>
        <w:t>8</w:t>
      </w:r>
      <w:r w:rsidRPr="00563545">
        <w:t xml:space="preserve"> found no significant difference </w:t>
      </w:r>
      <w:r w:rsidRPr="00563545">
        <w:lastRenderedPageBreak/>
        <w:t xml:space="preserve">in the BET or geometric surface area dose-response relationships for a given material. As particle shape and structure deviates from that of smooth, compact particles, BET and geometric surface area diverges. Using estimated values of </w:t>
      </w:r>
      <w:r w:rsidRPr="00563545">
        <w:rPr>
          <w:i/>
        </w:rPr>
        <w:t>N</w:t>
      </w:r>
      <w:r w:rsidRPr="00563545">
        <w:rPr>
          <w:i/>
          <w:vertAlign w:val="subscript"/>
        </w:rPr>
        <w:t>p</w:t>
      </w:r>
      <w:r w:rsidRPr="00563545">
        <w:t xml:space="preserve">, the volume concentration, </w:t>
      </w:r>
      <w:r w:rsidRPr="00563545">
        <w:rPr>
          <w:i/>
        </w:rPr>
        <w:t>V</w:t>
      </w:r>
      <w:r w:rsidRPr="00563545">
        <w:t>, can be calculated as,</w:t>
      </w:r>
    </w:p>
    <w:p w14:paraId="00000057" w14:textId="77777777" w:rsidR="00C3467B" w:rsidRPr="00563545" w:rsidRDefault="00470279">
      <w:pPr>
        <w:jc w:val="center"/>
        <w:rPr>
          <w:rFonts w:ascii="Cambria Math" w:eastAsia="Cambria Math" w:hAnsi="Cambria Math" w:cs="Cambria Math"/>
        </w:rPr>
      </w:pPr>
      <m:oMathPara>
        <m:oMath>
          <m:r>
            <w:rPr>
              <w:rFonts w:ascii="Cambria Math" w:eastAsia="Cambria Math" w:hAnsi="Cambria Math" w:cs="Cambria Math"/>
            </w:rPr>
            <m:t>V=</m:t>
          </m:r>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p</m:t>
              </m:r>
            </m:sub>
          </m:sSub>
          <m:f>
            <m:fPr>
              <m:ctrlPr>
                <w:rPr>
                  <w:rFonts w:ascii="Cambria Math" w:eastAsia="Cambria Math" w:hAnsi="Cambria Math" w:cs="Cambria Math"/>
                </w:rPr>
              </m:ctrlPr>
            </m:fPr>
            <m:num>
              <m:r>
                <w:rPr>
                  <w:rFonts w:ascii="Cambria Math" w:eastAsia="Cambria Math" w:hAnsi="Cambria Math" w:cs="Cambria Math"/>
                </w:rPr>
                <m:t>π</m:t>
              </m:r>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p</m:t>
                      </m:r>
                    </m:sub>
                  </m:sSub>
                </m:e>
                <m:sup>
                  <m:r>
                    <w:rPr>
                      <w:rFonts w:ascii="Cambria Math" w:eastAsia="Cambria Math" w:hAnsi="Cambria Math" w:cs="Cambria Math"/>
                    </w:rPr>
                    <m:t>3</m:t>
                  </m:r>
                </m:sup>
              </m:sSup>
            </m:num>
            <m:den>
              <m:r>
                <w:rPr>
                  <w:rFonts w:ascii="Cambria Math" w:eastAsia="Cambria Math" w:hAnsi="Cambria Math" w:cs="Cambria Math"/>
                </w:rPr>
                <m:t>6</m:t>
              </m:r>
            </m:den>
          </m:f>
        </m:oMath>
      </m:oMathPara>
    </w:p>
    <w:p w14:paraId="00000058" w14:textId="77777777" w:rsidR="00C3467B" w:rsidRPr="00563545" w:rsidRDefault="00470279">
      <w:pPr>
        <w:spacing w:after="0" w:line="480" w:lineRule="auto"/>
      </w:pPr>
      <w:r w:rsidRPr="00563545">
        <w:t xml:space="preserve">and the geometric surface area concentration, </w:t>
      </w:r>
      <w:proofErr w:type="spellStart"/>
      <w:r w:rsidRPr="00563545">
        <w:rPr>
          <w:i/>
        </w:rPr>
        <w:t>SA</w:t>
      </w:r>
      <w:r w:rsidRPr="00563545">
        <w:rPr>
          <w:i/>
          <w:vertAlign w:val="subscript"/>
        </w:rPr>
        <w:t>g</w:t>
      </w:r>
      <w:proofErr w:type="spellEnd"/>
      <w:r w:rsidRPr="00563545">
        <w:t>, as,</w:t>
      </w:r>
    </w:p>
    <w:p w14:paraId="00000059"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SA</m:t>
              </m:r>
            </m:e>
            <m:sub>
              <m:r>
                <w:rPr>
                  <w:rFonts w:ascii="Cambria Math" w:eastAsia="Cambria Math" w:hAnsi="Cambria Math" w:cs="Cambria Math"/>
                </w:rPr>
                <m:t>g</m:t>
              </m:r>
            </m:sub>
          </m:sSub>
          <m:r>
            <w:rPr>
              <w:rFonts w:ascii="Cambria Math" w:eastAsia="Cambria Math" w:hAnsi="Cambria Math" w:cs="Cambria Math"/>
            </w:rPr>
            <m:t>=π</m:t>
          </m:r>
          <m:sSup>
            <m:sSupPr>
              <m:ctrlPr>
                <w:rPr>
                  <w:rFonts w:ascii="Cambria Math" w:eastAsia="Cambria Math" w:hAnsi="Cambria Math" w:cs="Cambria Math"/>
                </w:rPr>
              </m:ctrlPr>
            </m:sSupPr>
            <m:e>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p</m:t>
                  </m:r>
                </m:sub>
              </m:sSub>
            </m:e>
            <m:sup>
              <m:r>
                <w:rPr>
                  <w:rFonts w:ascii="Cambria Math" w:eastAsia="Cambria Math" w:hAnsi="Cambria Math" w:cs="Cambria Math"/>
                </w:rPr>
                <m:t>2</m:t>
              </m:r>
            </m:sup>
          </m:sSup>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p</m:t>
              </m:r>
            </m:sub>
          </m:sSub>
        </m:oMath>
      </m:oMathPara>
    </w:p>
    <w:p w14:paraId="0000005A" w14:textId="77777777" w:rsidR="00C3467B" w:rsidRPr="00563545" w:rsidRDefault="00470279">
      <w:pPr>
        <w:spacing w:after="0" w:line="480" w:lineRule="auto"/>
      </w:pPr>
      <w:r w:rsidRPr="00563545">
        <w:t xml:space="preserve">From this, the volume specific surface area, </w:t>
      </w:r>
      <w:r w:rsidRPr="00563545">
        <w:rPr>
          <w:i/>
        </w:rPr>
        <w:t>SA</w:t>
      </w:r>
      <w:r w:rsidRPr="00563545">
        <w:rPr>
          <w:i/>
          <w:vertAlign w:val="subscript"/>
        </w:rPr>
        <w:t>V</w:t>
      </w:r>
      <w:r w:rsidRPr="00563545">
        <w:t xml:space="preserve"> (m</w:t>
      </w:r>
      <w:r w:rsidRPr="00563545">
        <w:rPr>
          <w:vertAlign w:val="superscript"/>
        </w:rPr>
        <w:t>2</w:t>
      </w:r>
      <w:r w:rsidRPr="00563545">
        <w:t>/cm</w:t>
      </w:r>
      <w:r w:rsidRPr="00563545">
        <w:rPr>
          <w:vertAlign w:val="superscript"/>
        </w:rPr>
        <w:t>3</w:t>
      </w:r>
      <w:r w:rsidRPr="00563545">
        <w:t>) and mass specific surface area,</w:t>
      </w:r>
      <w:r w:rsidRPr="00563545">
        <w:rPr>
          <w:i/>
        </w:rPr>
        <w:t xml:space="preserve"> SA</w:t>
      </w:r>
      <w:r w:rsidRPr="00563545">
        <w:rPr>
          <w:i/>
          <w:vertAlign w:val="subscript"/>
        </w:rPr>
        <w:t>M</w:t>
      </w:r>
      <w:r w:rsidRPr="00563545">
        <w:t xml:space="preserve"> (m</w:t>
      </w:r>
      <w:r w:rsidRPr="00563545">
        <w:rPr>
          <w:vertAlign w:val="superscript"/>
        </w:rPr>
        <w:t>2</w:t>
      </w:r>
      <w:r w:rsidRPr="00563545">
        <w:t>/g) can be calculated using the following equations respectively.</w:t>
      </w:r>
    </w:p>
    <w:p w14:paraId="0000005B"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SA</m:t>
              </m:r>
            </m:e>
            <m:sub>
              <m:r>
                <w:rPr>
                  <w:rFonts w:ascii="Cambria Math" w:eastAsia="Cambria Math" w:hAnsi="Cambria Math" w:cs="Cambria Math"/>
                </w:rPr>
                <m:t>V</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SA</m:t>
              </m:r>
            </m:num>
            <m:den>
              <m:r>
                <w:rPr>
                  <w:rFonts w:ascii="Cambria Math" w:eastAsia="Cambria Math" w:hAnsi="Cambria Math" w:cs="Cambria Math"/>
                </w:rPr>
                <m:t>V</m:t>
              </m:r>
            </m:den>
          </m:f>
        </m:oMath>
      </m:oMathPara>
    </w:p>
    <w:p w14:paraId="0000005C" w14:textId="77777777" w:rsidR="00C3467B" w:rsidRPr="00563545" w:rsidRDefault="00C90FA6">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SA</m:t>
              </m:r>
            </m:e>
            <m:sub>
              <m:r>
                <w:rPr>
                  <w:rFonts w:ascii="Cambria Math" w:eastAsia="Cambria Math" w:hAnsi="Cambria Math" w:cs="Cambria Math"/>
                </w:rPr>
                <m:t>M</m:t>
              </m:r>
            </m:sub>
          </m:sSub>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SA</m:t>
              </m:r>
            </m:num>
            <m:den>
              <m:r>
                <w:rPr>
                  <w:rFonts w:ascii="Cambria Math" w:eastAsia="Cambria Math" w:hAnsi="Cambria Math" w:cs="Cambria Math"/>
                </w:rPr>
                <m:t>M</m:t>
              </m:r>
            </m:den>
          </m:f>
        </m:oMath>
      </m:oMathPara>
    </w:p>
    <w:p w14:paraId="0000005D" w14:textId="77777777" w:rsidR="00C3467B" w:rsidRPr="00563545" w:rsidRDefault="00470279">
      <w:pPr>
        <w:spacing w:after="0" w:line="480" w:lineRule="auto"/>
      </w:pPr>
      <w:r w:rsidRPr="00563545">
        <w:t>For the iron oxide mixture aerosol, the number of primary particles, volume concentration and surface area concentration were calculated for each type of iron oxide separately assuming the known number-weighted mixture ratios and then summed.</w:t>
      </w:r>
    </w:p>
    <w:p w14:paraId="40ACC1FD" w14:textId="0D2E0087" w:rsidR="00563545" w:rsidRDefault="00563545">
      <w:pPr>
        <w:spacing w:after="0" w:line="480" w:lineRule="auto"/>
        <w:rPr>
          <w:b/>
        </w:rPr>
      </w:pPr>
    </w:p>
    <w:p w14:paraId="0000005F" w14:textId="2F3A658D" w:rsidR="00C3467B" w:rsidRPr="00FF3711" w:rsidRDefault="00AE43E5" w:rsidP="00425DCE">
      <w:pPr>
        <w:pStyle w:val="ListParagraph"/>
        <w:numPr>
          <w:ilvl w:val="0"/>
          <w:numId w:val="2"/>
        </w:numPr>
        <w:spacing w:after="0" w:line="480" w:lineRule="auto"/>
        <w:ind w:left="284" w:hanging="284"/>
        <w:rPr>
          <w:b/>
        </w:rPr>
      </w:pPr>
      <w:r w:rsidRPr="00FF3711">
        <w:rPr>
          <w:b/>
        </w:rPr>
        <w:t>References</w:t>
      </w:r>
    </w:p>
    <w:p w14:paraId="6EFF1B7D" w14:textId="7240D3C9" w:rsidR="00356132" w:rsidRPr="007C5B4D" w:rsidRDefault="00356132" w:rsidP="00425DCE">
      <w:pPr>
        <w:pStyle w:val="ListParagraph"/>
        <w:numPr>
          <w:ilvl w:val="0"/>
          <w:numId w:val="4"/>
        </w:numPr>
        <w:spacing w:after="0" w:line="480" w:lineRule="auto"/>
        <w:ind w:left="284" w:hanging="284"/>
        <w:rPr>
          <w:rFonts w:asciiTheme="minorHAnsi" w:hAnsiTheme="minorHAnsi" w:cstheme="minorHAnsi"/>
        </w:rPr>
      </w:pPr>
      <w:r w:rsidRPr="007C5B4D">
        <w:rPr>
          <w:rFonts w:asciiTheme="minorHAnsi" w:hAnsiTheme="minorHAnsi" w:cstheme="minorHAnsi"/>
        </w:rPr>
        <w:t xml:space="preserve">Sanderson P, Su SS, Chang ITH, Delgado Saborit JM, </w:t>
      </w:r>
      <w:proofErr w:type="spellStart"/>
      <w:r w:rsidRPr="007C5B4D">
        <w:rPr>
          <w:rFonts w:asciiTheme="minorHAnsi" w:hAnsiTheme="minorHAnsi" w:cstheme="minorHAnsi"/>
        </w:rPr>
        <w:t>Kepaptsoglou</w:t>
      </w:r>
      <w:proofErr w:type="spellEnd"/>
      <w:r w:rsidRPr="007C5B4D">
        <w:rPr>
          <w:rFonts w:asciiTheme="minorHAnsi" w:hAnsiTheme="minorHAnsi" w:cstheme="minorHAnsi"/>
        </w:rPr>
        <w:t xml:space="preserve"> DM, Weber RJM, Harrison RM. Characterisation of iron-rich atmospheric </w:t>
      </w:r>
      <w:proofErr w:type="spellStart"/>
      <w:r w:rsidRPr="007C5B4D">
        <w:rPr>
          <w:rFonts w:asciiTheme="minorHAnsi" w:hAnsiTheme="minorHAnsi" w:cstheme="minorHAnsi"/>
        </w:rPr>
        <w:t>submicrometre</w:t>
      </w:r>
      <w:proofErr w:type="spellEnd"/>
      <w:r w:rsidRPr="007C5B4D">
        <w:rPr>
          <w:rFonts w:asciiTheme="minorHAnsi" w:hAnsiTheme="minorHAnsi" w:cstheme="minorHAnsi"/>
        </w:rPr>
        <w:t xml:space="preserve"> particles in the roadside environment. </w:t>
      </w:r>
      <w:r w:rsidRPr="007C5B4D">
        <w:rPr>
          <w:rFonts w:asciiTheme="minorHAnsi" w:hAnsiTheme="minorHAnsi" w:cstheme="minorHAnsi"/>
          <w:i/>
        </w:rPr>
        <w:t>Atmos Env</w:t>
      </w:r>
      <w:r w:rsidRPr="007C5B4D">
        <w:rPr>
          <w:rFonts w:asciiTheme="minorHAnsi" w:hAnsiTheme="minorHAnsi" w:cstheme="minorHAnsi"/>
        </w:rPr>
        <w:t>, 2016; 140: 167-175.</w:t>
      </w:r>
    </w:p>
    <w:p w14:paraId="269D8807" w14:textId="77777777" w:rsidR="00425DCE" w:rsidRPr="007C5B4D" w:rsidRDefault="00425DCE" w:rsidP="00425DCE">
      <w:pPr>
        <w:pStyle w:val="ListParagraph"/>
        <w:numPr>
          <w:ilvl w:val="0"/>
          <w:numId w:val="4"/>
        </w:numPr>
        <w:spacing w:after="0" w:line="480" w:lineRule="auto"/>
        <w:ind w:left="284" w:hanging="284"/>
        <w:rPr>
          <w:rFonts w:asciiTheme="minorHAnsi" w:hAnsiTheme="minorHAnsi" w:cstheme="minorHAnsi"/>
        </w:rPr>
      </w:pPr>
      <w:proofErr w:type="spellStart"/>
      <w:r w:rsidRPr="007C5B4D">
        <w:rPr>
          <w:rFonts w:asciiTheme="minorHAnsi" w:hAnsiTheme="minorHAnsi" w:cstheme="minorHAnsi"/>
          <w:lang w:val="en"/>
        </w:rPr>
        <w:t>Oberdorster</w:t>
      </w:r>
      <w:proofErr w:type="spellEnd"/>
      <w:r w:rsidRPr="007C5B4D">
        <w:rPr>
          <w:rFonts w:asciiTheme="minorHAnsi" w:hAnsiTheme="minorHAnsi" w:cstheme="minorHAnsi"/>
          <w:lang w:val="en"/>
        </w:rPr>
        <w:t xml:space="preserve"> G. Significance of particle parameters in the evaluation of exposure-dose-response relationships of inhaled particles. </w:t>
      </w:r>
      <w:proofErr w:type="spellStart"/>
      <w:r w:rsidRPr="007C5B4D">
        <w:rPr>
          <w:rFonts w:asciiTheme="minorHAnsi" w:hAnsiTheme="minorHAnsi" w:cstheme="minorHAnsi"/>
          <w:i/>
          <w:iCs/>
          <w:lang w:val="en"/>
        </w:rPr>
        <w:t>Inhal</w:t>
      </w:r>
      <w:proofErr w:type="spellEnd"/>
      <w:r w:rsidRPr="007C5B4D">
        <w:rPr>
          <w:rFonts w:asciiTheme="minorHAnsi" w:hAnsiTheme="minorHAnsi" w:cstheme="minorHAnsi"/>
          <w:i/>
          <w:iCs/>
          <w:lang w:val="en"/>
        </w:rPr>
        <w:t xml:space="preserve"> </w:t>
      </w:r>
      <w:proofErr w:type="spellStart"/>
      <w:r w:rsidRPr="007C5B4D">
        <w:rPr>
          <w:rFonts w:asciiTheme="minorHAnsi" w:hAnsiTheme="minorHAnsi" w:cstheme="minorHAnsi"/>
          <w:i/>
          <w:iCs/>
          <w:lang w:val="en"/>
        </w:rPr>
        <w:t>Toxicol</w:t>
      </w:r>
      <w:proofErr w:type="spellEnd"/>
      <w:r w:rsidRPr="007C5B4D">
        <w:rPr>
          <w:rFonts w:asciiTheme="minorHAnsi" w:hAnsiTheme="minorHAnsi" w:cstheme="minorHAnsi"/>
          <w:lang w:val="en"/>
        </w:rPr>
        <w:t>, 1996; 8 (Suppl): 73-89.</w:t>
      </w:r>
    </w:p>
    <w:p w14:paraId="6EE153A7" w14:textId="77777777" w:rsidR="00E413B6" w:rsidRPr="007C5B4D" w:rsidRDefault="00425DCE" w:rsidP="00E413B6">
      <w:pPr>
        <w:pStyle w:val="ListParagraph"/>
        <w:numPr>
          <w:ilvl w:val="0"/>
          <w:numId w:val="4"/>
        </w:numPr>
        <w:spacing w:after="0" w:line="480" w:lineRule="auto"/>
        <w:ind w:left="284" w:hanging="284"/>
        <w:rPr>
          <w:rFonts w:asciiTheme="minorHAnsi" w:hAnsiTheme="minorHAnsi" w:cstheme="minorHAnsi"/>
        </w:rPr>
      </w:pPr>
      <w:r w:rsidRPr="007C5B4D">
        <w:rPr>
          <w:rFonts w:asciiTheme="minorHAnsi" w:hAnsiTheme="minorHAnsi" w:cstheme="minorHAnsi"/>
        </w:rPr>
        <w:t xml:space="preserve">Maynard AD, </w:t>
      </w:r>
      <w:proofErr w:type="spellStart"/>
      <w:r w:rsidRPr="007C5B4D">
        <w:rPr>
          <w:rFonts w:asciiTheme="minorHAnsi" w:hAnsiTheme="minorHAnsi" w:cstheme="minorHAnsi"/>
        </w:rPr>
        <w:t>Kuempel</w:t>
      </w:r>
      <w:proofErr w:type="spellEnd"/>
      <w:r w:rsidRPr="007C5B4D">
        <w:rPr>
          <w:rFonts w:asciiTheme="minorHAnsi" w:hAnsiTheme="minorHAnsi" w:cstheme="minorHAnsi"/>
        </w:rPr>
        <w:t xml:space="preserve"> ED</w:t>
      </w:r>
      <w:r w:rsidR="00E2003E" w:rsidRPr="007C5B4D">
        <w:rPr>
          <w:rFonts w:asciiTheme="minorHAnsi" w:hAnsiTheme="minorHAnsi" w:cstheme="minorHAnsi"/>
        </w:rPr>
        <w:t>.</w:t>
      </w:r>
      <w:r w:rsidRPr="007C5B4D">
        <w:rPr>
          <w:rFonts w:asciiTheme="minorHAnsi" w:hAnsiTheme="minorHAnsi" w:cstheme="minorHAnsi"/>
        </w:rPr>
        <w:t xml:space="preserve"> Airborne nanostructured particles and occupational health. </w:t>
      </w:r>
      <w:r w:rsidR="00E2003E" w:rsidRPr="007C5B4D">
        <w:rPr>
          <w:rFonts w:asciiTheme="minorHAnsi" w:hAnsiTheme="minorHAnsi" w:cstheme="minorHAnsi"/>
          <w:i/>
          <w:iCs/>
        </w:rPr>
        <w:t xml:space="preserve">J </w:t>
      </w:r>
      <w:proofErr w:type="spellStart"/>
      <w:r w:rsidR="00E2003E" w:rsidRPr="007C5B4D">
        <w:rPr>
          <w:rFonts w:asciiTheme="minorHAnsi" w:hAnsiTheme="minorHAnsi" w:cstheme="minorHAnsi"/>
          <w:i/>
          <w:iCs/>
        </w:rPr>
        <w:t>Nan</w:t>
      </w:r>
      <w:r w:rsidRPr="007C5B4D">
        <w:rPr>
          <w:rFonts w:asciiTheme="minorHAnsi" w:hAnsiTheme="minorHAnsi" w:cstheme="minorHAnsi"/>
          <w:i/>
          <w:iCs/>
        </w:rPr>
        <w:t>opart</w:t>
      </w:r>
      <w:proofErr w:type="spellEnd"/>
      <w:r w:rsidR="00E2003E" w:rsidRPr="007C5B4D">
        <w:rPr>
          <w:rFonts w:asciiTheme="minorHAnsi" w:hAnsiTheme="minorHAnsi" w:cstheme="minorHAnsi"/>
          <w:i/>
          <w:iCs/>
        </w:rPr>
        <w:t xml:space="preserve"> R</w:t>
      </w:r>
      <w:r w:rsidRPr="007C5B4D">
        <w:rPr>
          <w:rFonts w:asciiTheme="minorHAnsi" w:hAnsiTheme="minorHAnsi" w:cstheme="minorHAnsi"/>
          <w:i/>
          <w:iCs/>
        </w:rPr>
        <w:t>es</w:t>
      </w:r>
      <w:r w:rsidR="00E2003E" w:rsidRPr="007C5B4D">
        <w:rPr>
          <w:rFonts w:asciiTheme="minorHAnsi" w:hAnsiTheme="minorHAnsi" w:cstheme="minorHAnsi"/>
          <w:i/>
          <w:iCs/>
        </w:rPr>
        <w:t>.</w:t>
      </w:r>
      <w:r w:rsidRPr="007C5B4D">
        <w:rPr>
          <w:rFonts w:asciiTheme="minorHAnsi" w:hAnsiTheme="minorHAnsi" w:cstheme="minorHAnsi"/>
        </w:rPr>
        <w:t xml:space="preserve"> </w:t>
      </w:r>
      <w:r w:rsidR="00E2003E" w:rsidRPr="007C5B4D">
        <w:rPr>
          <w:rFonts w:asciiTheme="minorHAnsi" w:hAnsiTheme="minorHAnsi" w:cstheme="minorHAnsi"/>
        </w:rPr>
        <w:t xml:space="preserve">2005; </w:t>
      </w:r>
      <w:r w:rsidRPr="007C5B4D">
        <w:rPr>
          <w:rFonts w:asciiTheme="minorHAnsi" w:hAnsiTheme="minorHAnsi" w:cstheme="minorHAnsi"/>
          <w:i/>
          <w:iCs/>
        </w:rPr>
        <w:t>7</w:t>
      </w:r>
      <w:r w:rsidRPr="007C5B4D">
        <w:rPr>
          <w:rFonts w:asciiTheme="minorHAnsi" w:hAnsiTheme="minorHAnsi" w:cstheme="minorHAnsi"/>
        </w:rPr>
        <w:t>(6)</w:t>
      </w:r>
      <w:r w:rsidR="00E2003E" w:rsidRPr="007C5B4D">
        <w:rPr>
          <w:rFonts w:asciiTheme="minorHAnsi" w:hAnsiTheme="minorHAnsi" w:cstheme="minorHAnsi"/>
        </w:rPr>
        <w:t xml:space="preserve">: </w:t>
      </w:r>
      <w:r w:rsidRPr="007C5B4D">
        <w:rPr>
          <w:rFonts w:asciiTheme="minorHAnsi" w:hAnsiTheme="minorHAnsi" w:cstheme="minorHAnsi"/>
        </w:rPr>
        <w:t>587-614.</w:t>
      </w:r>
    </w:p>
    <w:p w14:paraId="4B4B7944" w14:textId="3B02A4C9" w:rsidR="00E413B6" w:rsidRPr="007C5B4D" w:rsidRDefault="00E413B6" w:rsidP="00E413B6">
      <w:pPr>
        <w:pStyle w:val="ListParagraph"/>
        <w:numPr>
          <w:ilvl w:val="0"/>
          <w:numId w:val="4"/>
        </w:numPr>
        <w:spacing w:after="0" w:line="480" w:lineRule="auto"/>
        <w:ind w:left="284" w:hanging="284"/>
        <w:rPr>
          <w:rFonts w:asciiTheme="minorHAnsi" w:hAnsiTheme="minorHAnsi" w:cstheme="minorHAnsi"/>
        </w:rPr>
      </w:pPr>
      <w:proofErr w:type="spellStart"/>
      <w:r w:rsidRPr="007C5B4D">
        <w:rPr>
          <w:rFonts w:asciiTheme="minorHAnsi" w:hAnsiTheme="minorHAnsi" w:cstheme="minorHAnsi"/>
        </w:rPr>
        <w:t>Wittmaack</w:t>
      </w:r>
      <w:proofErr w:type="spellEnd"/>
      <w:r w:rsidRPr="007C5B4D">
        <w:rPr>
          <w:rFonts w:asciiTheme="minorHAnsi" w:hAnsiTheme="minorHAnsi" w:cstheme="minorHAnsi"/>
        </w:rPr>
        <w:t xml:space="preserve"> K. In search of the most relevant parameter for quantifying lung inflammatory response to nanoparticle exposure: particle number, surface area, or what? </w:t>
      </w:r>
      <w:r w:rsidRPr="007C5B4D">
        <w:rPr>
          <w:rFonts w:asciiTheme="minorHAnsi" w:hAnsiTheme="minorHAnsi" w:cstheme="minorHAnsi"/>
          <w:i/>
          <w:iCs/>
        </w:rPr>
        <w:t xml:space="preserve">Environ Health </w:t>
      </w:r>
      <w:proofErr w:type="spellStart"/>
      <w:r w:rsidRPr="007C5B4D">
        <w:rPr>
          <w:rFonts w:asciiTheme="minorHAnsi" w:hAnsiTheme="minorHAnsi" w:cstheme="minorHAnsi"/>
          <w:i/>
          <w:iCs/>
        </w:rPr>
        <w:t>Perspect</w:t>
      </w:r>
      <w:proofErr w:type="spellEnd"/>
      <w:r w:rsidRPr="007C5B4D">
        <w:rPr>
          <w:rFonts w:asciiTheme="minorHAnsi" w:hAnsiTheme="minorHAnsi" w:cstheme="minorHAnsi"/>
          <w:iCs/>
        </w:rPr>
        <w:t>. 2007;</w:t>
      </w:r>
      <w:r w:rsidRPr="007C5B4D">
        <w:rPr>
          <w:rFonts w:asciiTheme="minorHAnsi" w:hAnsiTheme="minorHAnsi" w:cstheme="minorHAnsi"/>
        </w:rPr>
        <w:t xml:space="preserve"> </w:t>
      </w:r>
      <w:r w:rsidRPr="007C5B4D">
        <w:rPr>
          <w:rFonts w:asciiTheme="minorHAnsi" w:hAnsiTheme="minorHAnsi" w:cstheme="minorHAnsi"/>
          <w:iCs/>
        </w:rPr>
        <w:t>115</w:t>
      </w:r>
      <w:r w:rsidRPr="007C5B4D">
        <w:rPr>
          <w:rFonts w:asciiTheme="minorHAnsi" w:hAnsiTheme="minorHAnsi" w:cstheme="minorHAnsi"/>
        </w:rPr>
        <w:t>(2); 187-194.</w:t>
      </w:r>
    </w:p>
    <w:p w14:paraId="676E4B5E" w14:textId="77777777" w:rsidR="001710D3" w:rsidRPr="007C5B4D" w:rsidRDefault="00E413B6" w:rsidP="001710D3">
      <w:pPr>
        <w:pStyle w:val="ListParagraph"/>
        <w:numPr>
          <w:ilvl w:val="0"/>
          <w:numId w:val="4"/>
        </w:numPr>
        <w:spacing w:after="0" w:line="480" w:lineRule="auto"/>
        <w:ind w:left="284" w:hanging="284"/>
        <w:rPr>
          <w:rFonts w:asciiTheme="minorHAnsi" w:hAnsiTheme="minorHAnsi" w:cstheme="minorHAnsi"/>
        </w:rPr>
      </w:pPr>
      <w:proofErr w:type="spellStart"/>
      <w:r w:rsidRPr="007C5B4D">
        <w:rPr>
          <w:rFonts w:asciiTheme="minorHAnsi" w:hAnsiTheme="minorHAnsi" w:cstheme="minorHAnsi"/>
        </w:rPr>
        <w:lastRenderedPageBreak/>
        <w:t>Pauluhn</w:t>
      </w:r>
      <w:proofErr w:type="spellEnd"/>
      <w:r w:rsidRPr="007C5B4D">
        <w:rPr>
          <w:rFonts w:asciiTheme="minorHAnsi" w:hAnsiTheme="minorHAnsi" w:cstheme="minorHAnsi"/>
        </w:rPr>
        <w:t xml:space="preserve"> J. Poorly soluble particulates: Searching for a unifying denominator of nanoparticles and fine particles for DNEL estimation. </w:t>
      </w:r>
      <w:r w:rsidRPr="007C5B4D">
        <w:rPr>
          <w:rFonts w:asciiTheme="minorHAnsi" w:hAnsiTheme="minorHAnsi" w:cstheme="minorHAnsi"/>
          <w:i/>
        </w:rPr>
        <w:t>Toxicology</w:t>
      </w:r>
      <w:r w:rsidRPr="007C5B4D">
        <w:rPr>
          <w:rFonts w:asciiTheme="minorHAnsi" w:hAnsiTheme="minorHAnsi" w:cstheme="minorHAnsi"/>
        </w:rPr>
        <w:t>. 2011; 279 (1–3); 176-188.</w:t>
      </w:r>
    </w:p>
    <w:p w14:paraId="44C9FC72" w14:textId="77777777" w:rsidR="007C5B4D" w:rsidRPr="007C5B4D" w:rsidRDefault="001710D3" w:rsidP="007C5B4D">
      <w:pPr>
        <w:pStyle w:val="ListParagraph"/>
        <w:numPr>
          <w:ilvl w:val="0"/>
          <w:numId w:val="4"/>
        </w:numPr>
        <w:spacing w:after="0" w:line="480" w:lineRule="auto"/>
        <w:ind w:left="284" w:hanging="284"/>
        <w:rPr>
          <w:rFonts w:asciiTheme="minorHAnsi" w:hAnsiTheme="minorHAnsi" w:cstheme="minorHAnsi"/>
        </w:rPr>
      </w:pPr>
      <w:r w:rsidRPr="007C5B4D">
        <w:rPr>
          <w:rFonts w:asciiTheme="minorHAnsi" w:hAnsiTheme="minorHAnsi" w:cstheme="minorHAnsi"/>
        </w:rPr>
        <w:t>Gebel T.</w:t>
      </w:r>
      <w:r w:rsidR="00C90B45" w:rsidRPr="007C5B4D">
        <w:rPr>
          <w:rFonts w:asciiTheme="minorHAnsi" w:hAnsiTheme="minorHAnsi" w:cstheme="minorHAnsi"/>
        </w:rPr>
        <w:t xml:space="preserve"> </w:t>
      </w:r>
      <w:r w:rsidRPr="007C5B4D">
        <w:rPr>
          <w:rFonts w:asciiTheme="minorHAnsi" w:hAnsiTheme="minorHAnsi" w:cstheme="minorHAnsi"/>
        </w:rPr>
        <w:t xml:space="preserve">Small difference in carcinogenic potency between GBP nanomaterials and GBP micromaterials. </w:t>
      </w:r>
      <w:r w:rsidRPr="007C5B4D">
        <w:rPr>
          <w:rFonts w:asciiTheme="minorHAnsi" w:hAnsiTheme="minorHAnsi" w:cstheme="minorHAnsi"/>
          <w:i/>
          <w:iCs/>
        </w:rPr>
        <w:t>Arch</w:t>
      </w:r>
      <w:r w:rsidR="00C90B45" w:rsidRPr="007C5B4D">
        <w:rPr>
          <w:rFonts w:asciiTheme="minorHAnsi" w:hAnsiTheme="minorHAnsi" w:cstheme="minorHAnsi"/>
          <w:i/>
          <w:iCs/>
        </w:rPr>
        <w:t xml:space="preserve"> </w:t>
      </w:r>
      <w:proofErr w:type="spellStart"/>
      <w:r w:rsidR="00C90B45" w:rsidRPr="007C5B4D">
        <w:rPr>
          <w:rFonts w:asciiTheme="minorHAnsi" w:hAnsiTheme="minorHAnsi" w:cstheme="minorHAnsi"/>
          <w:i/>
          <w:iCs/>
        </w:rPr>
        <w:t>T</w:t>
      </w:r>
      <w:r w:rsidRPr="007C5B4D">
        <w:rPr>
          <w:rFonts w:asciiTheme="minorHAnsi" w:hAnsiTheme="minorHAnsi" w:cstheme="minorHAnsi"/>
          <w:i/>
          <w:iCs/>
        </w:rPr>
        <w:t>oxicol</w:t>
      </w:r>
      <w:proofErr w:type="spellEnd"/>
      <w:r w:rsidR="00C90B45" w:rsidRPr="007C5B4D">
        <w:rPr>
          <w:rFonts w:asciiTheme="minorHAnsi" w:hAnsiTheme="minorHAnsi" w:cstheme="minorHAnsi"/>
          <w:i/>
          <w:iCs/>
        </w:rPr>
        <w:t>.</w:t>
      </w:r>
      <w:r w:rsidRPr="007C5B4D">
        <w:rPr>
          <w:rFonts w:asciiTheme="minorHAnsi" w:hAnsiTheme="minorHAnsi" w:cstheme="minorHAnsi"/>
        </w:rPr>
        <w:t xml:space="preserve"> </w:t>
      </w:r>
      <w:r w:rsidR="00C90B45" w:rsidRPr="007C5B4D">
        <w:rPr>
          <w:rFonts w:asciiTheme="minorHAnsi" w:hAnsiTheme="minorHAnsi" w:cstheme="minorHAnsi"/>
        </w:rPr>
        <w:t xml:space="preserve">2012; </w:t>
      </w:r>
      <w:r w:rsidRPr="007C5B4D">
        <w:rPr>
          <w:rFonts w:asciiTheme="minorHAnsi" w:hAnsiTheme="minorHAnsi" w:cstheme="minorHAnsi"/>
          <w:i/>
          <w:iCs/>
        </w:rPr>
        <w:t>86</w:t>
      </w:r>
      <w:r w:rsidRPr="007C5B4D">
        <w:rPr>
          <w:rFonts w:asciiTheme="minorHAnsi" w:hAnsiTheme="minorHAnsi" w:cstheme="minorHAnsi"/>
        </w:rPr>
        <w:t>(7)</w:t>
      </w:r>
      <w:r w:rsidR="00C90B45" w:rsidRPr="007C5B4D">
        <w:rPr>
          <w:rFonts w:asciiTheme="minorHAnsi" w:hAnsiTheme="minorHAnsi" w:cstheme="minorHAnsi"/>
        </w:rPr>
        <w:t xml:space="preserve">: </w:t>
      </w:r>
      <w:r w:rsidRPr="007C5B4D">
        <w:rPr>
          <w:rFonts w:asciiTheme="minorHAnsi" w:hAnsiTheme="minorHAnsi" w:cstheme="minorHAnsi"/>
        </w:rPr>
        <w:t>995-1007.</w:t>
      </w:r>
    </w:p>
    <w:p w14:paraId="704CCACC" w14:textId="77777777" w:rsidR="00FA3C21" w:rsidRPr="00384D2D" w:rsidRDefault="007C5B4D" w:rsidP="00FA3C21">
      <w:pPr>
        <w:pStyle w:val="ListParagraph"/>
        <w:numPr>
          <w:ilvl w:val="0"/>
          <w:numId w:val="4"/>
        </w:numPr>
        <w:spacing w:after="0" w:line="480" w:lineRule="auto"/>
        <w:ind w:left="284" w:hanging="284"/>
        <w:rPr>
          <w:rFonts w:asciiTheme="minorHAnsi" w:hAnsiTheme="minorHAnsi" w:cstheme="minorHAnsi"/>
          <w:lang w:val="en"/>
        </w:rPr>
      </w:pPr>
      <w:r w:rsidRPr="007C5B4D">
        <w:rPr>
          <w:rFonts w:asciiTheme="minorHAnsi" w:hAnsiTheme="minorHAnsi" w:cstheme="minorHAnsi"/>
          <w:lang w:val="en"/>
        </w:rPr>
        <w:t>Donaldson</w:t>
      </w:r>
      <w:r>
        <w:rPr>
          <w:rFonts w:asciiTheme="minorHAnsi" w:hAnsiTheme="minorHAnsi" w:cstheme="minorHAnsi"/>
          <w:lang w:val="en"/>
        </w:rPr>
        <w:t xml:space="preserve"> K</w:t>
      </w:r>
      <w:r w:rsidRPr="007C5B4D">
        <w:rPr>
          <w:rFonts w:asciiTheme="minorHAnsi" w:hAnsiTheme="minorHAnsi" w:cstheme="minorHAnsi"/>
          <w:lang w:val="en"/>
        </w:rPr>
        <w:t>,</w:t>
      </w:r>
      <w:r>
        <w:rPr>
          <w:rFonts w:asciiTheme="minorHAnsi" w:hAnsiTheme="minorHAnsi" w:cstheme="minorHAnsi"/>
          <w:lang w:val="en"/>
        </w:rPr>
        <w:t xml:space="preserve"> </w:t>
      </w:r>
      <w:proofErr w:type="spellStart"/>
      <w:r>
        <w:rPr>
          <w:rFonts w:asciiTheme="minorHAnsi" w:hAnsiTheme="minorHAnsi" w:cstheme="minorHAnsi"/>
          <w:lang w:val="en"/>
        </w:rPr>
        <w:t>Schinwald</w:t>
      </w:r>
      <w:proofErr w:type="spellEnd"/>
      <w:r w:rsidRPr="007C5B4D">
        <w:rPr>
          <w:rFonts w:asciiTheme="minorHAnsi" w:hAnsiTheme="minorHAnsi" w:cstheme="minorHAnsi"/>
          <w:lang w:val="en"/>
        </w:rPr>
        <w:t xml:space="preserve"> A, Murphy F,</w:t>
      </w:r>
      <w:r>
        <w:rPr>
          <w:rFonts w:asciiTheme="minorHAnsi" w:hAnsiTheme="minorHAnsi" w:cstheme="minorHAnsi"/>
          <w:lang w:val="en"/>
        </w:rPr>
        <w:t xml:space="preserve"> Cho W</w:t>
      </w:r>
      <w:r w:rsidRPr="007C5B4D">
        <w:rPr>
          <w:rFonts w:asciiTheme="minorHAnsi" w:hAnsiTheme="minorHAnsi" w:cstheme="minorHAnsi"/>
          <w:lang w:val="en"/>
        </w:rPr>
        <w:t xml:space="preserve">S, </w:t>
      </w:r>
      <w:proofErr w:type="spellStart"/>
      <w:r w:rsidRPr="007C5B4D">
        <w:rPr>
          <w:rFonts w:asciiTheme="minorHAnsi" w:hAnsiTheme="minorHAnsi" w:cstheme="minorHAnsi"/>
          <w:lang w:val="en"/>
        </w:rPr>
        <w:t>Duffin</w:t>
      </w:r>
      <w:proofErr w:type="spellEnd"/>
      <w:r w:rsidRPr="007C5B4D">
        <w:rPr>
          <w:rFonts w:asciiTheme="minorHAnsi" w:hAnsiTheme="minorHAnsi" w:cstheme="minorHAnsi"/>
          <w:lang w:val="en"/>
        </w:rPr>
        <w:t xml:space="preserve"> R, Tran L et al</w:t>
      </w:r>
      <w:r w:rsidRPr="007C5B4D">
        <w:rPr>
          <w:rStyle w:val="Emphasis"/>
          <w:rFonts w:asciiTheme="minorHAnsi" w:hAnsiTheme="minorHAnsi" w:cstheme="minorHAnsi"/>
          <w:i w:val="0"/>
          <w:lang w:val="en"/>
        </w:rPr>
        <w:t>, Poland C</w:t>
      </w:r>
      <w:r>
        <w:rPr>
          <w:rStyle w:val="Emphasis"/>
          <w:rFonts w:asciiTheme="minorHAnsi" w:hAnsiTheme="minorHAnsi" w:cstheme="minorHAnsi"/>
          <w:i w:val="0"/>
          <w:lang w:val="en"/>
        </w:rPr>
        <w:t xml:space="preserve">. </w:t>
      </w:r>
      <w:r w:rsidRPr="007C5B4D">
        <w:rPr>
          <w:rStyle w:val="Strong"/>
          <w:rFonts w:asciiTheme="minorHAnsi" w:hAnsiTheme="minorHAnsi" w:cstheme="minorHAnsi"/>
          <w:b w:val="0"/>
          <w:lang w:val="en"/>
        </w:rPr>
        <w:t xml:space="preserve">The biologically </w:t>
      </w:r>
      <w:r w:rsidRPr="00384D2D">
        <w:rPr>
          <w:rStyle w:val="Strong"/>
          <w:rFonts w:asciiTheme="minorHAnsi" w:hAnsiTheme="minorHAnsi" w:cstheme="minorHAnsi"/>
          <w:b w:val="0"/>
          <w:lang w:val="en"/>
        </w:rPr>
        <w:t xml:space="preserve">effective dose in inhalation nanotoxicology. </w:t>
      </w:r>
      <w:r w:rsidRPr="00384D2D">
        <w:rPr>
          <w:rFonts w:asciiTheme="minorHAnsi" w:hAnsiTheme="minorHAnsi" w:cstheme="minorHAnsi"/>
          <w:i/>
          <w:lang w:val="en"/>
        </w:rPr>
        <w:t xml:space="preserve">Acc Chem Res. </w:t>
      </w:r>
      <w:r w:rsidRPr="00384D2D">
        <w:rPr>
          <w:rFonts w:asciiTheme="minorHAnsi" w:hAnsiTheme="minorHAnsi" w:cstheme="minorHAnsi"/>
          <w:lang w:val="en"/>
        </w:rPr>
        <w:t>2013; 46(3): 723-732.</w:t>
      </w:r>
    </w:p>
    <w:p w14:paraId="5BEF0F5A" w14:textId="77777777" w:rsidR="00384D2D" w:rsidRPr="00384D2D" w:rsidRDefault="00FA3C21" w:rsidP="00384D2D">
      <w:pPr>
        <w:pStyle w:val="ListParagraph"/>
        <w:numPr>
          <w:ilvl w:val="0"/>
          <w:numId w:val="4"/>
        </w:numPr>
        <w:spacing w:after="0" w:line="480" w:lineRule="auto"/>
        <w:ind w:left="284" w:hanging="284"/>
        <w:rPr>
          <w:rFonts w:asciiTheme="minorHAnsi" w:hAnsiTheme="minorHAnsi" w:cstheme="minorHAnsi"/>
          <w:lang w:val="en"/>
        </w:rPr>
      </w:pPr>
      <w:r w:rsidRPr="00384D2D">
        <w:rPr>
          <w:rFonts w:asciiTheme="minorHAnsi" w:hAnsiTheme="minorHAnsi" w:cstheme="minorHAnsi"/>
        </w:rPr>
        <w:t xml:space="preserve">Schmid O, </w:t>
      </w:r>
      <w:proofErr w:type="spellStart"/>
      <w:r w:rsidRPr="00384D2D">
        <w:rPr>
          <w:rFonts w:asciiTheme="minorHAnsi" w:hAnsiTheme="minorHAnsi" w:cstheme="minorHAnsi"/>
        </w:rPr>
        <w:t>Stoeger</w:t>
      </w:r>
      <w:proofErr w:type="spellEnd"/>
      <w:r w:rsidRPr="00384D2D">
        <w:rPr>
          <w:rFonts w:asciiTheme="minorHAnsi" w:hAnsiTheme="minorHAnsi" w:cstheme="minorHAnsi"/>
        </w:rPr>
        <w:t xml:space="preserve"> T. Surface area is the biologically most effective dose metric for acute nanoparticle toxicity in the lung. </w:t>
      </w:r>
      <w:r w:rsidRPr="00384D2D">
        <w:rPr>
          <w:rFonts w:asciiTheme="minorHAnsi" w:hAnsiTheme="minorHAnsi" w:cstheme="minorHAnsi"/>
          <w:i/>
        </w:rPr>
        <w:t>J Aerosol Sci.</w:t>
      </w:r>
      <w:r w:rsidRPr="00384D2D">
        <w:rPr>
          <w:rFonts w:asciiTheme="minorHAnsi" w:hAnsiTheme="minorHAnsi" w:cstheme="minorHAnsi"/>
        </w:rPr>
        <w:t xml:space="preserve"> 2016; 99: 133-143.</w:t>
      </w:r>
    </w:p>
    <w:p w14:paraId="29909788" w14:textId="77777777" w:rsidR="003A0899" w:rsidRPr="003A0899" w:rsidRDefault="00384D2D" w:rsidP="003A0899">
      <w:pPr>
        <w:pStyle w:val="ListParagraph"/>
        <w:numPr>
          <w:ilvl w:val="0"/>
          <w:numId w:val="4"/>
        </w:numPr>
        <w:spacing w:after="0" w:line="480" w:lineRule="auto"/>
        <w:ind w:left="284" w:hanging="284"/>
        <w:rPr>
          <w:rStyle w:val="element-citation"/>
          <w:rFonts w:asciiTheme="minorHAnsi" w:hAnsiTheme="minorHAnsi" w:cstheme="minorHAnsi"/>
          <w:lang w:val="en"/>
        </w:rPr>
      </w:pPr>
      <w:proofErr w:type="spellStart"/>
      <w:r w:rsidRPr="00384D2D">
        <w:rPr>
          <w:rStyle w:val="element-citation"/>
          <w:rFonts w:asciiTheme="minorHAnsi" w:hAnsiTheme="minorHAnsi" w:cstheme="minorHAnsi"/>
        </w:rPr>
        <w:t>Lall</w:t>
      </w:r>
      <w:proofErr w:type="spellEnd"/>
      <w:r w:rsidRPr="00384D2D">
        <w:rPr>
          <w:rStyle w:val="element-citation"/>
          <w:rFonts w:asciiTheme="minorHAnsi" w:hAnsiTheme="minorHAnsi" w:cstheme="minorHAnsi"/>
        </w:rPr>
        <w:t xml:space="preserve"> AA, Friedlander SK. On-Line Measurement of Ultrafine Aggregate Surface Area and Volume Distributions by Electrical Mobility Analysis: 1. Theoretical Analysis. </w:t>
      </w:r>
      <w:r w:rsidRPr="00384D2D">
        <w:rPr>
          <w:rStyle w:val="ref-journal"/>
          <w:rFonts w:asciiTheme="minorHAnsi" w:hAnsiTheme="minorHAnsi" w:cstheme="minorHAnsi"/>
          <w:i/>
        </w:rPr>
        <w:t>J Aerosol Sci.</w:t>
      </w:r>
      <w:r w:rsidRPr="00384D2D">
        <w:rPr>
          <w:rStyle w:val="ref-journal"/>
          <w:rFonts w:asciiTheme="minorHAnsi" w:hAnsiTheme="minorHAnsi" w:cstheme="minorHAnsi"/>
        </w:rPr>
        <w:t xml:space="preserve"> </w:t>
      </w:r>
      <w:r w:rsidRPr="00384D2D">
        <w:rPr>
          <w:rStyle w:val="element-citation"/>
          <w:rFonts w:asciiTheme="minorHAnsi" w:hAnsiTheme="minorHAnsi" w:cstheme="minorHAnsi"/>
        </w:rPr>
        <w:t>2006;</w:t>
      </w:r>
      <w:r>
        <w:rPr>
          <w:rStyle w:val="element-citation"/>
          <w:rFonts w:asciiTheme="minorHAnsi" w:hAnsiTheme="minorHAnsi" w:cstheme="minorHAnsi"/>
        </w:rPr>
        <w:t xml:space="preserve"> </w:t>
      </w:r>
      <w:r w:rsidRPr="00384D2D">
        <w:rPr>
          <w:rStyle w:val="ref-vol"/>
          <w:rFonts w:asciiTheme="minorHAnsi" w:hAnsiTheme="minorHAnsi" w:cstheme="minorHAnsi"/>
        </w:rPr>
        <w:t>37</w:t>
      </w:r>
      <w:r w:rsidRPr="00384D2D">
        <w:rPr>
          <w:rStyle w:val="element-citation"/>
          <w:rFonts w:asciiTheme="minorHAnsi" w:hAnsiTheme="minorHAnsi" w:cstheme="minorHAnsi"/>
        </w:rPr>
        <w:t>:</w:t>
      </w:r>
      <w:r>
        <w:rPr>
          <w:rStyle w:val="element-citation"/>
          <w:rFonts w:asciiTheme="minorHAnsi" w:hAnsiTheme="minorHAnsi" w:cstheme="minorHAnsi"/>
        </w:rPr>
        <w:t xml:space="preserve"> 260-</w:t>
      </w:r>
      <w:r w:rsidRPr="00384D2D">
        <w:rPr>
          <w:rStyle w:val="element-citation"/>
          <w:rFonts w:asciiTheme="minorHAnsi" w:hAnsiTheme="minorHAnsi" w:cstheme="minorHAnsi"/>
        </w:rPr>
        <w:t>271.</w:t>
      </w:r>
    </w:p>
    <w:p w14:paraId="3E79E252" w14:textId="77777777" w:rsidR="003A0899" w:rsidRPr="003A0899" w:rsidRDefault="003A0899" w:rsidP="003A0899">
      <w:pPr>
        <w:pStyle w:val="ListParagraph"/>
        <w:numPr>
          <w:ilvl w:val="0"/>
          <w:numId w:val="4"/>
        </w:numPr>
        <w:spacing w:after="0" w:line="480" w:lineRule="auto"/>
        <w:ind w:left="284" w:hanging="284"/>
        <w:rPr>
          <w:rFonts w:asciiTheme="minorHAnsi" w:hAnsiTheme="minorHAnsi" w:cstheme="minorHAnsi"/>
          <w:lang w:val="en"/>
        </w:rPr>
      </w:pPr>
      <w:r w:rsidRPr="003A0899">
        <w:rPr>
          <w:rFonts w:asciiTheme="minorHAnsi" w:hAnsiTheme="minorHAnsi" w:cstheme="minorHAnsi"/>
        </w:rPr>
        <w:t xml:space="preserve"> </w:t>
      </w:r>
      <w:proofErr w:type="spellStart"/>
      <w:r>
        <w:rPr>
          <w:rFonts w:asciiTheme="minorHAnsi" w:hAnsiTheme="minorHAnsi" w:cstheme="minorHAnsi"/>
          <w:color w:val="222222"/>
        </w:rPr>
        <w:t>Hadrup</w:t>
      </w:r>
      <w:proofErr w:type="spellEnd"/>
      <w:r w:rsidRPr="003A0899">
        <w:rPr>
          <w:rFonts w:asciiTheme="minorHAnsi" w:hAnsiTheme="minorHAnsi" w:cstheme="minorHAnsi"/>
          <w:color w:val="222222"/>
        </w:rPr>
        <w:t xml:space="preserve"> N, Saber AT</w:t>
      </w:r>
      <w:r>
        <w:rPr>
          <w:rFonts w:asciiTheme="minorHAnsi" w:hAnsiTheme="minorHAnsi" w:cstheme="minorHAnsi"/>
          <w:color w:val="222222"/>
        </w:rPr>
        <w:t xml:space="preserve">, </w:t>
      </w:r>
      <w:proofErr w:type="spellStart"/>
      <w:r>
        <w:rPr>
          <w:rFonts w:asciiTheme="minorHAnsi" w:hAnsiTheme="minorHAnsi" w:cstheme="minorHAnsi"/>
          <w:color w:val="222222"/>
        </w:rPr>
        <w:t>Kyjovska</w:t>
      </w:r>
      <w:proofErr w:type="spellEnd"/>
      <w:r>
        <w:rPr>
          <w:rFonts w:asciiTheme="minorHAnsi" w:hAnsiTheme="minorHAnsi" w:cstheme="minorHAnsi"/>
          <w:color w:val="222222"/>
        </w:rPr>
        <w:t xml:space="preserve"> </w:t>
      </w:r>
      <w:r w:rsidRPr="003A0899">
        <w:rPr>
          <w:rFonts w:asciiTheme="minorHAnsi" w:hAnsiTheme="minorHAnsi" w:cstheme="minorHAnsi"/>
          <w:color w:val="222222"/>
        </w:rPr>
        <w:t>ZO, Jacobsen</w:t>
      </w:r>
      <w:r>
        <w:rPr>
          <w:rFonts w:asciiTheme="minorHAnsi" w:hAnsiTheme="minorHAnsi" w:cstheme="minorHAnsi"/>
          <w:color w:val="222222"/>
        </w:rPr>
        <w:t xml:space="preserve"> NR</w:t>
      </w:r>
      <w:r w:rsidRPr="003A0899">
        <w:rPr>
          <w:rFonts w:asciiTheme="minorHAnsi" w:hAnsiTheme="minorHAnsi" w:cstheme="minorHAnsi"/>
          <w:color w:val="222222"/>
        </w:rPr>
        <w:t xml:space="preserve">, </w:t>
      </w:r>
      <w:proofErr w:type="spellStart"/>
      <w:r w:rsidRPr="003A0899">
        <w:rPr>
          <w:rFonts w:asciiTheme="minorHAnsi" w:hAnsiTheme="minorHAnsi" w:cstheme="minorHAnsi"/>
          <w:color w:val="222222"/>
        </w:rPr>
        <w:t>Vippola</w:t>
      </w:r>
      <w:proofErr w:type="spellEnd"/>
      <w:r w:rsidRPr="003A0899">
        <w:rPr>
          <w:rFonts w:asciiTheme="minorHAnsi" w:hAnsiTheme="minorHAnsi" w:cstheme="minorHAnsi"/>
          <w:color w:val="222222"/>
        </w:rPr>
        <w:t xml:space="preserve"> M, </w:t>
      </w:r>
      <w:proofErr w:type="spellStart"/>
      <w:r w:rsidRPr="003A0899">
        <w:rPr>
          <w:rFonts w:asciiTheme="minorHAnsi" w:hAnsiTheme="minorHAnsi" w:cstheme="minorHAnsi"/>
          <w:color w:val="222222"/>
        </w:rPr>
        <w:t>Sarlin</w:t>
      </w:r>
      <w:proofErr w:type="spellEnd"/>
      <w:r>
        <w:rPr>
          <w:rFonts w:asciiTheme="minorHAnsi" w:hAnsiTheme="minorHAnsi" w:cstheme="minorHAnsi"/>
          <w:color w:val="222222"/>
        </w:rPr>
        <w:t xml:space="preserve"> E, Ding Y, Schmid O, </w:t>
      </w:r>
      <w:proofErr w:type="spellStart"/>
      <w:r>
        <w:rPr>
          <w:rFonts w:asciiTheme="minorHAnsi" w:hAnsiTheme="minorHAnsi" w:cstheme="minorHAnsi"/>
          <w:color w:val="222222"/>
        </w:rPr>
        <w:t>Wallin</w:t>
      </w:r>
      <w:proofErr w:type="spellEnd"/>
      <w:r>
        <w:rPr>
          <w:rFonts w:asciiTheme="minorHAnsi" w:hAnsiTheme="minorHAnsi" w:cstheme="minorHAnsi"/>
          <w:color w:val="222222"/>
        </w:rPr>
        <w:t xml:space="preserve"> H, Jensen KA, </w:t>
      </w:r>
      <w:r w:rsidRPr="003A0899">
        <w:rPr>
          <w:rFonts w:asciiTheme="minorHAnsi" w:hAnsiTheme="minorHAnsi" w:cstheme="minorHAnsi"/>
          <w:color w:val="222222"/>
        </w:rPr>
        <w:t>Vogel U. Pulmonary toxicity of Fe</w:t>
      </w:r>
      <w:r w:rsidRPr="003A0899">
        <w:rPr>
          <w:rFonts w:asciiTheme="minorHAnsi" w:hAnsiTheme="minorHAnsi" w:cstheme="minorHAnsi"/>
          <w:color w:val="222222"/>
          <w:vertAlign w:val="subscript"/>
        </w:rPr>
        <w:t>2</w:t>
      </w:r>
      <w:r w:rsidRPr="003A0899">
        <w:rPr>
          <w:rFonts w:asciiTheme="minorHAnsi" w:hAnsiTheme="minorHAnsi" w:cstheme="minorHAnsi"/>
          <w:color w:val="222222"/>
        </w:rPr>
        <w:t>O</w:t>
      </w:r>
      <w:r w:rsidRPr="003A0899">
        <w:rPr>
          <w:rFonts w:asciiTheme="minorHAnsi" w:hAnsiTheme="minorHAnsi" w:cstheme="minorHAnsi"/>
          <w:color w:val="222222"/>
          <w:vertAlign w:val="subscript"/>
        </w:rPr>
        <w:t>3</w:t>
      </w:r>
      <w:r w:rsidRPr="003A0899">
        <w:rPr>
          <w:rFonts w:asciiTheme="minorHAnsi" w:hAnsiTheme="minorHAnsi" w:cstheme="minorHAnsi"/>
          <w:color w:val="222222"/>
        </w:rPr>
        <w:t>, ZnFe</w:t>
      </w:r>
      <w:r w:rsidRPr="003A0899">
        <w:rPr>
          <w:rFonts w:asciiTheme="minorHAnsi" w:hAnsiTheme="minorHAnsi" w:cstheme="minorHAnsi"/>
          <w:color w:val="222222"/>
          <w:vertAlign w:val="subscript"/>
        </w:rPr>
        <w:t>2</w:t>
      </w:r>
      <w:r w:rsidRPr="003A0899">
        <w:rPr>
          <w:rFonts w:asciiTheme="minorHAnsi" w:hAnsiTheme="minorHAnsi" w:cstheme="minorHAnsi"/>
          <w:color w:val="222222"/>
        </w:rPr>
        <w:t>O</w:t>
      </w:r>
      <w:r w:rsidRPr="003A0899">
        <w:rPr>
          <w:rFonts w:asciiTheme="minorHAnsi" w:hAnsiTheme="minorHAnsi" w:cstheme="minorHAnsi"/>
          <w:color w:val="222222"/>
          <w:vertAlign w:val="subscript"/>
        </w:rPr>
        <w:t>4</w:t>
      </w:r>
      <w:r w:rsidRPr="003A0899">
        <w:rPr>
          <w:rFonts w:asciiTheme="minorHAnsi" w:hAnsiTheme="minorHAnsi" w:cstheme="minorHAnsi"/>
          <w:color w:val="222222"/>
        </w:rPr>
        <w:t>, NiFe</w:t>
      </w:r>
      <w:r w:rsidRPr="003A0899">
        <w:rPr>
          <w:rFonts w:asciiTheme="minorHAnsi" w:hAnsiTheme="minorHAnsi" w:cstheme="minorHAnsi"/>
          <w:color w:val="222222"/>
          <w:vertAlign w:val="subscript"/>
        </w:rPr>
        <w:t>2</w:t>
      </w:r>
      <w:r w:rsidRPr="003A0899">
        <w:rPr>
          <w:rFonts w:asciiTheme="minorHAnsi" w:hAnsiTheme="minorHAnsi" w:cstheme="minorHAnsi"/>
          <w:color w:val="222222"/>
        </w:rPr>
        <w:t>O</w:t>
      </w:r>
      <w:r w:rsidRPr="003A0899">
        <w:rPr>
          <w:rFonts w:asciiTheme="minorHAnsi" w:hAnsiTheme="minorHAnsi" w:cstheme="minorHAnsi"/>
          <w:color w:val="222222"/>
          <w:vertAlign w:val="subscript"/>
        </w:rPr>
        <w:t>4</w:t>
      </w:r>
      <w:r w:rsidRPr="003A0899">
        <w:rPr>
          <w:rFonts w:asciiTheme="minorHAnsi" w:hAnsiTheme="minorHAnsi" w:cstheme="minorHAnsi"/>
          <w:color w:val="222222"/>
        </w:rPr>
        <w:t xml:space="preserve"> and NiZnFe</w:t>
      </w:r>
      <w:r w:rsidRPr="003A0899">
        <w:rPr>
          <w:rFonts w:asciiTheme="minorHAnsi" w:hAnsiTheme="minorHAnsi" w:cstheme="minorHAnsi"/>
          <w:color w:val="222222"/>
          <w:vertAlign w:val="subscript"/>
        </w:rPr>
        <w:t>4</w:t>
      </w:r>
      <w:r w:rsidRPr="003A0899">
        <w:rPr>
          <w:rFonts w:asciiTheme="minorHAnsi" w:hAnsiTheme="minorHAnsi" w:cstheme="minorHAnsi"/>
          <w:color w:val="222222"/>
        </w:rPr>
        <w:t>O</w:t>
      </w:r>
      <w:r w:rsidRPr="003A0899">
        <w:rPr>
          <w:rFonts w:asciiTheme="minorHAnsi" w:hAnsiTheme="minorHAnsi" w:cstheme="minorHAnsi"/>
          <w:color w:val="222222"/>
          <w:vertAlign w:val="subscript"/>
        </w:rPr>
        <w:t>8</w:t>
      </w:r>
      <w:r w:rsidRPr="003A0899">
        <w:rPr>
          <w:rFonts w:asciiTheme="minorHAnsi" w:hAnsiTheme="minorHAnsi" w:cstheme="minorHAnsi"/>
          <w:color w:val="222222"/>
        </w:rPr>
        <w:t xml:space="preserve"> nanomaterials: Inflammation and DNA strand breaks. </w:t>
      </w:r>
      <w:r w:rsidRPr="003A0899">
        <w:rPr>
          <w:rFonts w:asciiTheme="minorHAnsi" w:hAnsiTheme="minorHAnsi" w:cstheme="minorHAnsi"/>
          <w:i/>
          <w:iCs/>
          <w:color w:val="222222"/>
        </w:rPr>
        <w:t xml:space="preserve">Environ </w:t>
      </w:r>
      <w:proofErr w:type="spellStart"/>
      <w:r w:rsidRPr="003A0899">
        <w:rPr>
          <w:rFonts w:asciiTheme="minorHAnsi" w:hAnsiTheme="minorHAnsi" w:cstheme="minorHAnsi"/>
          <w:i/>
          <w:iCs/>
          <w:color w:val="222222"/>
        </w:rPr>
        <w:t>Toxicol</w:t>
      </w:r>
      <w:proofErr w:type="spellEnd"/>
      <w:r w:rsidRPr="003A0899">
        <w:rPr>
          <w:rFonts w:asciiTheme="minorHAnsi" w:hAnsiTheme="minorHAnsi" w:cstheme="minorHAnsi"/>
          <w:i/>
          <w:iCs/>
          <w:color w:val="222222"/>
        </w:rPr>
        <w:t xml:space="preserve"> </w:t>
      </w:r>
      <w:proofErr w:type="spellStart"/>
      <w:r w:rsidRPr="003A0899">
        <w:rPr>
          <w:rFonts w:asciiTheme="minorHAnsi" w:hAnsiTheme="minorHAnsi" w:cstheme="minorHAnsi"/>
          <w:i/>
          <w:iCs/>
          <w:color w:val="222222"/>
        </w:rPr>
        <w:t>Pharm</w:t>
      </w:r>
      <w:r>
        <w:rPr>
          <w:rFonts w:asciiTheme="minorHAnsi" w:hAnsiTheme="minorHAnsi" w:cstheme="minorHAnsi"/>
          <w:i/>
          <w:iCs/>
          <w:color w:val="222222"/>
        </w:rPr>
        <w:t>acol</w:t>
      </w:r>
      <w:proofErr w:type="spellEnd"/>
      <w:r>
        <w:rPr>
          <w:rFonts w:asciiTheme="minorHAnsi" w:hAnsiTheme="minorHAnsi" w:cstheme="minorHAnsi"/>
          <w:i/>
          <w:iCs/>
          <w:color w:val="222222"/>
        </w:rPr>
        <w:t>.</w:t>
      </w:r>
      <w:r w:rsidRPr="003A0899">
        <w:rPr>
          <w:rFonts w:asciiTheme="minorHAnsi" w:hAnsiTheme="minorHAnsi" w:cstheme="minorHAnsi"/>
          <w:color w:val="222222"/>
        </w:rPr>
        <w:t xml:space="preserve"> 2020; </w:t>
      </w:r>
      <w:r w:rsidRPr="003A0899">
        <w:rPr>
          <w:rFonts w:asciiTheme="minorHAnsi" w:hAnsiTheme="minorHAnsi" w:cstheme="minorHAnsi"/>
          <w:iCs/>
          <w:color w:val="222222"/>
        </w:rPr>
        <w:t>74</w:t>
      </w:r>
      <w:r w:rsidRPr="003A0899">
        <w:rPr>
          <w:rFonts w:asciiTheme="minorHAnsi" w:hAnsiTheme="minorHAnsi" w:cstheme="minorHAnsi"/>
          <w:color w:val="222222"/>
        </w:rPr>
        <w:t>: 103303.</w:t>
      </w:r>
    </w:p>
    <w:p w14:paraId="390651C2" w14:textId="77777777" w:rsidR="00C10F8B" w:rsidRPr="00C10F8B" w:rsidRDefault="003A0899" w:rsidP="00C10F8B">
      <w:pPr>
        <w:pStyle w:val="ListParagraph"/>
        <w:numPr>
          <w:ilvl w:val="0"/>
          <w:numId w:val="4"/>
        </w:numPr>
        <w:spacing w:after="0" w:line="480" w:lineRule="auto"/>
        <w:ind w:left="284" w:hanging="284"/>
        <w:rPr>
          <w:rFonts w:asciiTheme="minorHAnsi" w:hAnsiTheme="minorHAnsi" w:cstheme="minorHAnsi"/>
          <w:lang w:val="en"/>
        </w:rPr>
      </w:pPr>
      <w:r>
        <w:rPr>
          <w:rFonts w:asciiTheme="minorHAnsi" w:hAnsiTheme="minorHAnsi" w:cstheme="minorHAnsi"/>
          <w:color w:val="222222"/>
        </w:rPr>
        <w:t>Roach</w:t>
      </w:r>
      <w:r w:rsidRPr="003A0899">
        <w:rPr>
          <w:rFonts w:asciiTheme="minorHAnsi" w:hAnsiTheme="minorHAnsi" w:cstheme="minorHAnsi"/>
          <w:color w:val="222222"/>
        </w:rPr>
        <w:t xml:space="preserve"> KA</w:t>
      </w:r>
      <w:r>
        <w:rPr>
          <w:rFonts w:asciiTheme="minorHAnsi" w:hAnsiTheme="minorHAnsi" w:cstheme="minorHAnsi"/>
          <w:color w:val="222222"/>
        </w:rPr>
        <w:t>, Anderson</w:t>
      </w:r>
      <w:r w:rsidRPr="003A0899">
        <w:rPr>
          <w:rFonts w:asciiTheme="minorHAnsi" w:hAnsiTheme="minorHAnsi" w:cstheme="minorHAnsi"/>
          <w:color w:val="222222"/>
        </w:rPr>
        <w:t xml:space="preserve"> SE, </w:t>
      </w:r>
      <w:proofErr w:type="spellStart"/>
      <w:r w:rsidRPr="003A0899">
        <w:rPr>
          <w:rFonts w:asciiTheme="minorHAnsi" w:hAnsiTheme="minorHAnsi" w:cstheme="minorHAnsi"/>
          <w:color w:val="222222"/>
        </w:rPr>
        <w:t>Stefaniak</w:t>
      </w:r>
      <w:proofErr w:type="spellEnd"/>
      <w:r w:rsidRPr="003A0899">
        <w:rPr>
          <w:rFonts w:asciiTheme="minorHAnsi" w:hAnsiTheme="minorHAnsi" w:cstheme="minorHAnsi"/>
          <w:color w:val="222222"/>
        </w:rPr>
        <w:t xml:space="preserve"> AB, Shane HL, </w:t>
      </w:r>
      <w:proofErr w:type="spellStart"/>
      <w:r w:rsidRPr="003A0899">
        <w:rPr>
          <w:rFonts w:asciiTheme="minorHAnsi" w:hAnsiTheme="minorHAnsi" w:cstheme="minorHAnsi"/>
          <w:color w:val="222222"/>
        </w:rPr>
        <w:t>Kodali</w:t>
      </w:r>
      <w:proofErr w:type="spellEnd"/>
      <w:r w:rsidRPr="003A0899">
        <w:rPr>
          <w:rFonts w:asciiTheme="minorHAnsi" w:hAnsiTheme="minorHAnsi" w:cstheme="minorHAnsi"/>
          <w:color w:val="222222"/>
        </w:rPr>
        <w:t xml:space="preserve"> V, </w:t>
      </w:r>
      <w:proofErr w:type="spellStart"/>
      <w:r w:rsidRPr="003A0899">
        <w:rPr>
          <w:rFonts w:asciiTheme="minorHAnsi" w:hAnsiTheme="minorHAnsi" w:cstheme="minorHAnsi"/>
          <w:color w:val="222222"/>
        </w:rPr>
        <w:t>Kashon</w:t>
      </w:r>
      <w:proofErr w:type="spellEnd"/>
      <w:r>
        <w:rPr>
          <w:rFonts w:asciiTheme="minorHAnsi" w:hAnsiTheme="minorHAnsi" w:cstheme="minorHAnsi"/>
          <w:color w:val="222222"/>
        </w:rPr>
        <w:t xml:space="preserve"> M, </w:t>
      </w:r>
      <w:r w:rsidRPr="003A0899">
        <w:rPr>
          <w:rFonts w:asciiTheme="minorHAnsi" w:hAnsiTheme="minorHAnsi" w:cstheme="minorHAnsi"/>
          <w:color w:val="222222"/>
        </w:rPr>
        <w:t xml:space="preserve">Roberts JR. Surface area-and mass-based comparison of fine and ultrafine nickel oxide lung toxicity and augmentation of allergic response in an ovalbumin asthma model. </w:t>
      </w:r>
      <w:proofErr w:type="spellStart"/>
      <w:r w:rsidRPr="003A0899">
        <w:rPr>
          <w:rFonts w:asciiTheme="minorHAnsi" w:hAnsiTheme="minorHAnsi" w:cstheme="minorHAnsi"/>
          <w:i/>
          <w:iCs/>
          <w:color w:val="222222"/>
        </w:rPr>
        <w:t>Inhal</w:t>
      </w:r>
      <w:proofErr w:type="spellEnd"/>
      <w:r w:rsidRPr="003A0899">
        <w:rPr>
          <w:rFonts w:asciiTheme="minorHAnsi" w:hAnsiTheme="minorHAnsi" w:cstheme="minorHAnsi"/>
          <w:i/>
          <w:iCs/>
          <w:color w:val="222222"/>
        </w:rPr>
        <w:t xml:space="preserve"> </w:t>
      </w:r>
      <w:proofErr w:type="spellStart"/>
      <w:r w:rsidRPr="003A0899">
        <w:rPr>
          <w:rFonts w:asciiTheme="minorHAnsi" w:hAnsiTheme="minorHAnsi" w:cstheme="minorHAnsi"/>
          <w:i/>
          <w:iCs/>
          <w:color w:val="222222"/>
        </w:rPr>
        <w:t>Toxicol</w:t>
      </w:r>
      <w:proofErr w:type="spellEnd"/>
      <w:r>
        <w:rPr>
          <w:rFonts w:asciiTheme="minorHAnsi" w:hAnsiTheme="minorHAnsi" w:cstheme="minorHAnsi"/>
          <w:i/>
          <w:iCs/>
          <w:color w:val="222222"/>
        </w:rPr>
        <w:t>.</w:t>
      </w:r>
      <w:r w:rsidRPr="003A0899">
        <w:rPr>
          <w:rFonts w:asciiTheme="minorHAnsi" w:hAnsiTheme="minorHAnsi" w:cstheme="minorHAnsi"/>
          <w:color w:val="222222"/>
        </w:rPr>
        <w:t xml:space="preserve"> 2019; </w:t>
      </w:r>
      <w:r w:rsidRPr="003A0899">
        <w:rPr>
          <w:rFonts w:asciiTheme="minorHAnsi" w:hAnsiTheme="minorHAnsi" w:cstheme="minorHAnsi"/>
          <w:iCs/>
          <w:color w:val="222222"/>
        </w:rPr>
        <w:t>31</w:t>
      </w:r>
      <w:r w:rsidRPr="003A0899">
        <w:rPr>
          <w:rFonts w:asciiTheme="minorHAnsi" w:hAnsiTheme="minorHAnsi" w:cstheme="minorHAnsi"/>
          <w:color w:val="222222"/>
        </w:rPr>
        <w:t>(8)</w:t>
      </w:r>
      <w:r>
        <w:rPr>
          <w:rFonts w:asciiTheme="minorHAnsi" w:hAnsiTheme="minorHAnsi" w:cstheme="minorHAnsi"/>
          <w:color w:val="222222"/>
        </w:rPr>
        <w:t xml:space="preserve">: </w:t>
      </w:r>
      <w:r w:rsidRPr="003A0899">
        <w:rPr>
          <w:rFonts w:asciiTheme="minorHAnsi" w:hAnsiTheme="minorHAnsi" w:cstheme="minorHAnsi"/>
          <w:color w:val="222222"/>
        </w:rPr>
        <w:t>299-324.</w:t>
      </w:r>
    </w:p>
    <w:p w14:paraId="70AF7E4C" w14:textId="77777777" w:rsidR="00C10F8B" w:rsidRPr="00336255" w:rsidRDefault="00C10F8B" w:rsidP="00C10F8B">
      <w:pPr>
        <w:pStyle w:val="ListParagraph"/>
        <w:numPr>
          <w:ilvl w:val="0"/>
          <w:numId w:val="4"/>
        </w:numPr>
        <w:spacing w:after="0" w:line="480" w:lineRule="auto"/>
        <w:ind w:left="284" w:hanging="284"/>
        <w:rPr>
          <w:rFonts w:asciiTheme="minorHAnsi" w:hAnsiTheme="minorHAnsi" w:cstheme="minorHAnsi"/>
          <w:lang w:val="en"/>
        </w:rPr>
      </w:pPr>
      <w:r w:rsidRPr="00C10F8B">
        <w:rPr>
          <w:rFonts w:asciiTheme="minorHAnsi" w:hAnsiTheme="minorHAnsi" w:cstheme="minorHAnsi"/>
        </w:rPr>
        <w:t xml:space="preserve"> </w:t>
      </w:r>
      <w:r w:rsidRPr="00C10F8B">
        <w:rPr>
          <w:rFonts w:asciiTheme="minorHAnsi" w:hAnsiTheme="minorHAnsi" w:cstheme="minorHAnsi"/>
          <w:color w:val="222222"/>
        </w:rPr>
        <w:t xml:space="preserve">Tran CL, Buchanan D, Cullen RT, </w:t>
      </w:r>
      <w:proofErr w:type="spellStart"/>
      <w:r w:rsidRPr="00C10F8B">
        <w:rPr>
          <w:rFonts w:asciiTheme="minorHAnsi" w:hAnsiTheme="minorHAnsi" w:cstheme="minorHAnsi"/>
          <w:color w:val="222222"/>
        </w:rPr>
        <w:t>Searl</w:t>
      </w:r>
      <w:proofErr w:type="spellEnd"/>
      <w:r w:rsidRPr="00C10F8B">
        <w:rPr>
          <w:rFonts w:asciiTheme="minorHAnsi" w:hAnsiTheme="minorHAnsi" w:cstheme="minorHAnsi"/>
          <w:color w:val="222222"/>
        </w:rPr>
        <w:t xml:space="preserve"> A, Jones AD</w:t>
      </w:r>
      <w:r>
        <w:rPr>
          <w:rFonts w:asciiTheme="minorHAnsi" w:hAnsiTheme="minorHAnsi" w:cstheme="minorHAnsi"/>
          <w:color w:val="222222"/>
        </w:rPr>
        <w:t>, Donaldson</w:t>
      </w:r>
      <w:r w:rsidRPr="00C10F8B">
        <w:rPr>
          <w:rFonts w:asciiTheme="minorHAnsi" w:hAnsiTheme="minorHAnsi" w:cstheme="minorHAnsi"/>
          <w:color w:val="222222"/>
        </w:rPr>
        <w:t xml:space="preserve"> K</w:t>
      </w:r>
      <w:r>
        <w:rPr>
          <w:rFonts w:asciiTheme="minorHAnsi" w:hAnsiTheme="minorHAnsi" w:cstheme="minorHAnsi"/>
          <w:color w:val="222222"/>
        </w:rPr>
        <w:t>.</w:t>
      </w:r>
      <w:r w:rsidRPr="00C10F8B">
        <w:rPr>
          <w:rFonts w:asciiTheme="minorHAnsi" w:hAnsiTheme="minorHAnsi" w:cstheme="minorHAnsi"/>
          <w:color w:val="222222"/>
        </w:rPr>
        <w:t xml:space="preserve"> Inhalation of poorly soluble </w:t>
      </w:r>
      <w:r w:rsidRPr="00336255">
        <w:rPr>
          <w:rFonts w:asciiTheme="minorHAnsi" w:hAnsiTheme="minorHAnsi" w:cstheme="minorHAnsi"/>
        </w:rPr>
        <w:t xml:space="preserve">particles. II. Influence of particle surface area on inflammation and clearance. </w:t>
      </w:r>
      <w:proofErr w:type="spellStart"/>
      <w:r w:rsidRPr="00336255">
        <w:rPr>
          <w:rFonts w:asciiTheme="minorHAnsi" w:hAnsiTheme="minorHAnsi" w:cstheme="minorHAnsi"/>
          <w:i/>
          <w:iCs/>
        </w:rPr>
        <w:t>Inhal</w:t>
      </w:r>
      <w:proofErr w:type="spellEnd"/>
      <w:r w:rsidRPr="00336255">
        <w:rPr>
          <w:rFonts w:asciiTheme="minorHAnsi" w:hAnsiTheme="minorHAnsi" w:cstheme="minorHAnsi"/>
          <w:i/>
          <w:iCs/>
        </w:rPr>
        <w:t xml:space="preserve"> </w:t>
      </w:r>
      <w:proofErr w:type="spellStart"/>
      <w:r w:rsidRPr="00336255">
        <w:rPr>
          <w:rFonts w:asciiTheme="minorHAnsi" w:hAnsiTheme="minorHAnsi" w:cstheme="minorHAnsi"/>
          <w:i/>
          <w:iCs/>
        </w:rPr>
        <w:t>Toxicol</w:t>
      </w:r>
      <w:proofErr w:type="spellEnd"/>
      <w:r w:rsidRPr="00336255">
        <w:rPr>
          <w:rFonts w:asciiTheme="minorHAnsi" w:hAnsiTheme="minorHAnsi" w:cstheme="minorHAnsi"/>
          <w:i/>
          <w:iCs/>
        </w:rPr>
        <w:t>.</w:t>
      </w:r>
      <w:r w:rsidRPr="00336255">
        <w:rPr>
          <w:rFonts w:asciiTheme="minorHAnsi" w:hAnsiTheme="minorHAnsi" w:cstheme="minorHAnsi"/>
        </w:rPr>
        <w:t xml:space="preserve"> 2000; </w:t>
      </w:r>
      <w:r w:rsidRPr="00336255">
        <w:rPr>
          <w:rFonts w:asciiTheme="minorHAnsi" w:hAnsiTheme="minorHAnsi" w:cstheme="minorHAnsi"/>
          <w:iCs/>
        </w:rPr>
        <w:t>12</w:t>
      </w:r>
      <w:r w:rsidRPr="00336255">
        <w:rPr>
          <w:rFonts w:asciiTheme="minorHAnsi" w:hAnsiTheme="minorHAnsi" w:cstheme="minorHAnsi"/>
        </w:rPr>
        <w:t>(12): 1113-1126.</w:t>
      </w:r>
    </w:p>
    <w:p w14:paraId="5E1ADA33" w14:textId="77777777" w:rsidR="00336255" w:rsidRPr="00336255" w:rsidRDefault="00C10F8B" w:rsidP="00336255">
      <w:pPr>
        <w:pStyle w:val="ListParagraph"/>
        <w:numPr>
          <w:ilvl w:val="0"/>
          <w:numId w:val="4"/>
        </w:numPr>
        <w:spacing w:after="0" w:line="480" w:lineRule="auto"/>
        <w:ind w:left="284" w:hanging="284"/>
        <w:rPr>
          <w:rFonts w:asciiTheme="minorHAnsi" w:hAnsiTheme="minorHAnsi" w:cstheme="minorHAnsi"/>
          <w:lang w:val="en"/>
        </w:rPr>
      </w:pPr>
      <w:r w:rsidRPr="00336255">
        <w:rPr>
          <w:rFonts w:asciiTheme="minorHAnsi" w:hAnsiTheme="minorHAnsi" w:cstheme="minorHAnsi"/>
        </w:rPr>
        <w:t xml:space="preserve">Danielsen PH, Knudsen KB, </w:t>
      </w:r>
      <w:proofErr w:type="spellStart"/>
      <w:r w:rsidRPr="00336255">
        <w:rPr>
          <w:rFonts w:asciiTheme="minorHAnsi" w:hAnsiTheme="minorHAnsi" w:cstheme="minorHAnsi"/>
        </w:rPr>
        <w:t>Štrancar</w:t>
      </w:r>
      <w:proofErr w:type="spellEnd"/>
      <w:r w:rsidRPr="00336255">
        <w:rPr>
          <w:rFonts w:asciiTheme="minorHAnsi" w:hAnsiTheme="minorHAnsi" w:cstheme="minorHAnsi"/>
        </w:rPr>
        <w:t xml:space="preserve"> J, </w:t>
      </w:r>
      <w:proofErr w:type="spellStart"/>
      <w:r w:rsidRPr="00336255">
        <w:rPr>
          <w:rFonts w:asciiTheme="minorHAnsi" w:hAnsiTheme="minorHAnsi" w:cstheme="minorHAnsi"/>
        </w:rPr>
        <w:t>Umek</w:t>
      </w:r>
      <w:proofErr w:type="spellEnd"/>
      <w:r w:rsidRPr="00336255">
        <w:rPr>
          <w:rFonts w:asciiTheme="minorHAnsi" w:hAnsiTheme="minorHAnsi" w:cstheme="minorHAnsi"/>
        </w:rPr>
        <w:t xml:space="preserve"> P, </w:t>
      </w:r>
      <w:proofErr w:type="spellStart"/>
      <w:r w:rsidRPr="00336255">
        <w:rPr>
          <w:rFonts w:asciiTheme="minorHAnsi" w:hAnsiTheme="minorHAnsi" w:cstheme="minorHAnsi"/>
        </w:rPr>
        <w:t>Koklič</w:t>
      </w:r>
      <w:proofErr w:type="spellEnd"/>
      <w:r w:rsidRPr="00336255">
        <w:rPr>
          <w:rFonts w:asciiTheme="minorHAnsi" w:hAnsiTheme="minorHAnsi" w:cstheme="minorHAnsi"/>
        </w:rPr>
        <w:t xml:space="preserve"> T, </w:t>
      </w:r>
      <w:proofErr w:type="spellStart"/>
      <w:r w:rsidRPr="00336255">
        <w:rPr>
          <w:rFonts w:asciiTheme="minorHAnsi" w:hAnsiTheme="minorHAnsi" w:cstheme="minorHAnsi"/>
        </w:rPr>
        <w:t>Garvas</w:t>
      </w:r>
      <w:proofErr w:type="spellEnd"/>
      <w:r w:rsidRPr="00336255">
        <w:rPr>
          <w:rFonts w:asciiTheme="minorHAnsi" w:hAnsiTheme="minorHAnsi" w:cstheme="minorHAnsi"/>
        </w:rPr>
        <w:t xml:space="preserve"> M, </w:t>
      </w:r>
      <w:proofErr w:type="spellStart"/>
      <w:r w:rsidRPr="00336255">
        <w:rPr>
          <w:rFonts w:asciiTheme="minorHAnsi" w:hAnsiTheme="minorHAnsi" w:cstheme="minorHAnsi"/>
        </w:rPr>
        <w:t>Vanhala</w:t>
      </w:r>
      <w:proofErr w:type="spellEnd"/>
      <w:r w:rsidRPr="00336255">
        <w:rPr>
          <w:rFonts w:asciiTheme="minorHAnsi" w:hAnsiTheme="minorHAnsi" w:cstheme="minorHAnsi"/>
        </w:rPr>
        <w:t xml:space="preserve"> E, </w:t>
      </w:r>
      <w:proofErr w:type="spellStart"/>
      <w:r w:rsidRPr="00336255">
        <w:rPr>
          <w:rFonts w:asciiTheme="minorHAnsi" w:hAnsiTheme="minorHAnsi" w:cstheme="minorHAnsi"/>
        </w:rPr>
        <w:t>Savukoski</w:t>
      </w:r>
      <w:proofErr w:type="spellEnd"/>
      <w:r w:rsidRPr="00336255">
        <w:rPr>
          <w:rFonts w:asciiTheme="minorHAnsi" w:hAnsiTheme="minorHAnsi" w:cstheme="minorHAnsi"/>
        </w:rPr>
        <w:t xml:space="preserve"> S, Ding Y, Madsen AM, Jacobsen NR. Effects of physicochemical properties of TiO2 nanomaterials for pulmonary inflammation, acute phase response and alveolar proteinosis in intratracheally exposed mice. </w:t>
      </w:r>
      <w:proofErr w:type="spellStart"/>
      <w:r w:rsidR="00336255" w:rsidRPr="00336255">
        <w:rPr>
          <w:rFonts w:asciiTheme="minorHAnsi" w:hAnsiTheme="minorHAnsi" w:cstheme="minorHAnsi"/>
          <w:i/>
          <w:iCs/>
        </w:rPr>
        <w:t>Toxicol</w:t>
      </w:r>
      <w:proofErr w:type="spellEnd"/>
      <w:r w:rsidRPr="00336255">
        <w:rPr>
          <w:rFonts w:asciiTheme="minorHAnsi" w:hAnsiTheme="minorHAnsi" w:cstheme="minorHAnsi"/>
          <w:i/>
          <w:iCs/>
        </w:rPr>
        <w:t xml:space="preserve"> Appl </w:t>
      </w:r>
      <w:proofErr w:type="spellStart"/>
      <w:r w:rsidRPr="00336255">
        <w:rPr>
          <w:rFonts w:asciiTheme="minorHAnsi" w:hAnsiTheme="minorHAnsi" w:cstheme="minorHAnsi"/>
          <w:i/>
          <w:iCs/>
        </w:rPr>
        <w:t>Pharmacol</w:t>
      </w:r>
      <w:proofErr w:type="spellEnd"/>
      <w:r w:rsidR="00336255" w:rsidRPr="00336255">
        <w:rPr>
          <w:rFonts w:asciiTheme="minorHAnsi" w:hAnsiTheme="minorHAnsi" w:cstheme="minorHAnsi"/>
          <w:iCs/>
        </w:rPr>
        <w:t>.</w:t>
      </w:r>
      <w:r w:rsidRPr="00336255">
        <w:rPr>
          <w:rFonts w:asciiTheme="minorHAnsi" w:hAnsiTheme="minorHAnsi" w:cstheme="minorHAnsi"/>
        </w:rPr>
        <w:t xml:space="preserve"> </w:t>
      </w:r>
      <w:r w:rsidR="00336255" w:rsidRPr="00336255">
        <w:rPr>
          <w:rFonts w:asciiTheme="minorHAnsi" w:hAnsiTheme="minorHAnsi" w:cstheme="minorHAnsi"/>
        </w:rPr>
        <w:t xml:space="preserve">2020; </w:t>
      </w:r>
      <w:r w:rsidRPr="00336255">
        <w:rPr>
          <w:rFonts w:asciiTheme="minorHAnsi" w:hAnsiTheme="minorHAnsi" w:cstheme="minorHAnsi"/>
          <w:iCs/>
        </w:rPr>
        <w:t>386</w:t>
      </w:r>
      <w:r w:rsidR="00336255" w:rsidRPr="00336255">
        <w:rPr>
          <w:rFonts w:asciiTheme="minorHAnsi" w:hAnsiTheme="minorHAnsi" w:cstheme="minorHAnsi"/>
          <w:iCs/>
        </w:rPr>
        <w:t xml:space="preserve">: </w:t>
      </w:r>
      <w:r w:rsidRPr="00336255">
        <w:rPr>
          <w:rFonts w:asciiTheme="minorHAnsi" w:hAnsiTheme="minorHAnsi" w:cstheme="minorHAnsi"/>
        </w:rPr>
        <w:t>114830.</w:t>
      </w:r>
    </w:p>
    <w:p w14:paraId="2129F5F1" w14:textId="77777777" w:rsidR="00336255" w:rsidRPr="00336255" w:rsidRDefault="00336255" w:rsidP="00336255">
      <w:pPr>
        <w:pStyle w:val="ListParagraph"/>
        <w:numPr>
          <w:ilvl w:val="0"/>
          <w:numId w:val="4"/>
        </w:numPr>
        <w:spacing w:after="0" w:line="480" w:lineRule="auto"/>
        <w:ind w:left="284" w:hanging="284"/>
        <w:rPr>
          <w:rFonts w:asciiTheme="minorHAnsi" w:hAnsiTheme="minorHAnsi" w:cstheme="minorHAnsi"/>
          <w:lang w:val="en"/>
        </w:rPr>
      </w:pPr>
      <w:r w:rsidRPr="00336255">
        <w:rPr>
          <w:rFonts w:asciiTheme="minorHAnsi" w:eastAsia="Times New Roman" w:hAnsiTheme="minorHAnsi" w:cstheme="minorHAnsi"/>
          <w:lang w:val="en" w:eastAsia="en-GB"/>
        </w:rPr>
        <w:lastRenderedPageBreak/>
        <w:t xml:space="preserve">Waters KM, </w:t>
      </w:r>
      <w:proofErr w:type="spellStart"/>
      <w:r w:rsidRPr="00336255">
        <w:rPr>
          <w:rFonts w:asciiTheme="minorHAnsi" w:eastAsia="Times New Roman" w:hAnsiTheme="minorHAnsi" w:cstheme="minorHAnsi"/>
          <w:lang w:val="en" w:eastAsia="en-GB"/>
        </w:rPr>
        <w:t>Masiello</w:t>
      </w:r>
      <w:proofErr w:type="spellEnd"/>
      <w:r w:rsidRPr="00336255">
        <w:rPr>
          <w:rFonts w:asciiTheme="minorHAnsi" w:eastAsia="Times New Roman" w:hAnsiTheme="minorHAnsi" w:cstheme="minorHAnsi"/>
          <w:lang w:val="en" w:eastAsia="en-GB"/>
        </w:rPr>
        <w:t xml:space="preserve"> LM, </w:t>
      </w:r>
      <w:proofErr w:type="spellStart"/>
      <w:r w:rsidRPr="00336255">
        <w:rPr>
          <w:rFonts w:asciiTheme="minorHAnsi" w:eastAsia="Times New Roman" w:hAnsiTheme="minorHAnsi" w:cstheme="minorHAnsi"/>
          <w:lang w:val="en" w:eastAsia="en-GB"/>
        </w:rPr>
        <w:t>Zangar</w:t>
      </w:r>
      <w:proofErr w:type="spellEnd"/>
      <w:r w:rsidRPr="00336255">
        <w:rPr>
          <w:rFonts w:asciiTheme="minorHAnsi" w:eastAsia="Times New Roman" w:hAnsiTheme="minorHAnsi" w:cstheme="minorHAnsi"/>
          <w:lang w:val="en" w:eastAsia="en-GB"/>
        </w:rPr>
        <w:t xml:space="preserve"> RC, </w:t>
      </w:r>
      <w:proofErr w:type="spellStart"/>
      <w:r w:rsidRPr="00336255">
        <w:rPr>
          <w:rFonts w:asciiTheme="minorHAnsi" w:eastAsia="Times New Roman" w:hAnsiTheme="minorHAnsi" w:cstheme="minorHAnsi"/>
          <w:lang w:val="en" w:eastAsia="en-GB"/>
        </w:rPr>
        <w:t>Tarasevich</w:t>
      </w:r>
      <w:proofErr w:type="spellEnd"/>
      <w:r w:rsidRPr="00336255">
        <w:rPr>
          <w:rFonts w:asciiTheme="minorHAnsi" w:eastAsia="Times New Roman" w:hAnsiTheme="minorHAnsi" w:cstheme="minorHAnsi"/>
          <w:lang w:val="en" w:eastAsia="en-GB"/>
        </w:rPr>
        <w:t xml:space="preserve"> BJ, Karin NJ, </w:t>
      </w:r>
      <w:proofErr w:type="spellStart"/>
      <w:r w:rsidRPr="00336255">
        <w:rPr>
          <w:rFonts w:asciiTheme="minorHAnsi" w:eastAsia="Times New Roman" w:hAnsiTheme="minorHAnsi" w:cstheme="minorHAnsi"/>
          <w:lang w:val="en" w:eastAsia="en-GB"/>
        </w:rPr>
        <w:t>Quesenberry</w:t>
      </w:r>
      <w:proofErr w:type="spellEnd"/>
      <w:r w:rsidRPr="00336255">
        <w:rPr>
          <w:rFonts w:asciiTheme="minorHAnsi" w:eastAsia="Times New Roman" w:hAnsiTheme="minorHAnsi" w:cstheme="minorHAnsi"/>
          <w:lang w:val="en" w:eastAsia="en-GB"/>
        </w:rPr>
        <w:t xml:space="preserve"> RD, Bandyopadhyay S, </w:t>
      </w:r>
      <w:proofErr w:type="spellStart"/>
      <w:r w:rsidRPr="00336255">
        <w:rPr>
          <w:rFonts w:asciiTheme="minorHAnsi" w:eastAsia="Times New Roman" w:hAnsiTheme="minorHAnsi" w:cstheme="minorHAnsi"/>
          <w:lang w:val="en" w:eastAsia="en-GB"/>
        </w:rPr>
        <w:t>Teeguarden</w:t>
      </w:r>
      <w:proofErr w:type="spellEnd"/>
      <w:r w:rsidRPr="00336255">
        <w:rPr>
          <w:rFonts w:asciiTheme="minorHAnsi" w:eastAsia="Times New Roman" w:hAnsiTheme="minorHAnsi" w:cstheme="minorHAnsi"/>
          <w:lang w:val="en" w:eastAsia="en-GB"/>
        </w:rPr>
        <w:t xml:space="preserve"> JG, Pounds JG, Thrall BD. Macrophage Responses to Silica Nanoparticles are Highly Conserved Across Particle Sizes. </w:t>
      </w:r>
      <w:proofErr w:type="spellStart"/>
      <w:r w:rsidRPr="00336255">
        <w:rPr>
          <w:rFonts w:asciiTheme="minorHAnsi" w:eastAsia="Times New Roman" w:hAnsiTheme="minorHAnsi" w:cstheme="minorHAnsi"/>
          <w:i/>
          <w:iCs/>
          <w:lang w:val="en" w:eastAsia="en-GB"/>
        </w:rPr>
        <w:t>Toxicol</w:t>
      </w:r>
      <w:proofErr w:type="spellEnd"/>
      <w:r w:rsidRPr="00336255">
        <w:rPr>
          <w:rFonts w:asciiTheme="minorHAnsi" w:eastAsia="Times New Roman" w:hAnsiTheme="minorHAnsi" w:cstheme="minorHAnsi"/>
          <w:i/>
          <w:iCs/>
          <w:lang w:val="en" w:eastAsia="en-GB"/>
        </w:rPr>
        <w:t xml:space="preserve"> Sci.</w:t>
      </w:r>
      <w:r w:rsidRPr="00336255">
        <w:rPr>
          <w:rFonts w:asciiTheme="minorHAnsi" w:eastAsia="Times New Roman" w:hAnsiTheme="minorHAnsi" w:cstheme="minorHAnsi"/>
          <w:lang w:val="en" w:eastAsia="en-GB"/>
        </w:rPr>
        <w:t xml:space="preserve"> 2009; 107(2): 553–569. </w:t>
      </w:r>
    </w:p>
    <w:p w14:paraId="6176F7A6" w14:textId="77777777" w:rsidR="00763319" w:rsidRPr="00763319" w:rsidRDefault="00336255" w:rsidP="00763319">
      <w:pPr>
        <w:pStyle w:val="ListParagraph"/>
        <w:numPr>
          <w:ilvl w:val="0"/>
          <w:numId w:val="4"/>
        </w:numPr>
        <w:spacing w:after="0" w:line="480" w:lineRule="auto"/>
        <w:ind w:left="284" w:hanging="284"/>
        <w:rPr>
          <w:rFonts w:asciiTheme="minorHAnsi" w:hAnsiTheme="minorHAnsi" w:cstheme="minorHAnsi"/>
          <w:lang w:val="en"/>
        </w:rPr>
      </w:pPr>
      <w:proofErr w:type="spellStart"/>
      <w:r>
        <w:rPr>
          <w:rFonts w:asciiTheme="minorHAnsi" w:hAnsiTheme="minorHAnsi" w:cstheme="minorHAnsi"/>
        </w:rPr>
        <w:t>Moshammer</w:t>
      </w:r>
      <w:proofErr w:type="spellEnd"/>
      <w:r>
        <w:rPr>
          <w:rFonts w:asciiTheme="minorHAnsi" w:hAnsiTheme="minorHAnsi" w:cstheme="minorHAnsi"/>
        </w:rPr>
        <w:t xml:space="preserve"> H, </w:t>
      </w:r>
      <w:r w:rsidRPr="00336255">
        <w:rPr>
          <w:rFonts w:asciiTheme="minorHAnsi" w:hAnsiTheme="minorHAnsi" w:cstheme="minorHAnsi"/>
        </w:rPr>
        <w:t>Neuberger</w:t>
      </w:r>
      <w:r>
        <w:rPr>
          <w:rFonts w:asciiTheme="minorHAnsi" w:hAnsiTheme="minorHAnsi" w:cstheme="minorHAnsi"/>
        </w:rPr>
        <w:t xml:space="preserve"> M</w:t>
      </w:r>
      <w:r w:rsidRPr="00336255">
        <w:rPr>
          <w:rFonts w:asciiTheme="minorHAnsi" w:hAnsiTheme="minorHAnsi" w:cstheme="minorHAnsi"/>
        </w:rPr>
        <w:t xml:space="preserve">. The active surface of suspended particles as a predictor of lung function and pulmonary symptoms in Austrian school children. </w:t>
      </w:r>
      <w:r w:rsidRPr="00336255">
        <w:rPr>
          <w:rFonts w:asciiTheme="minorHAnsi" w:hAnsiTheme="minorHAnsi" w:cstheme="minorHAnsi"/>
          <w:i/>
          <w:iCs/>
        </w:rPr>
        <w:t>Atmos Environ</w:t>
      </w:r>
      <w:r>
        <w:rPr>
          <w:rFonts w:asciiTheme="minorHAnsi" w:hAnsiTheme="minorHAnsi" w:cstheme="minorHAnsi"/>
          <w:i/>
          <w:iCs/>
        </w:rPr>
        <w:t>.</w:t>
      </w:r>
      <w:r w:rsidRPr="00336255">
        <w:rPr>
          <w:rFonts w:asciiTheme="minorHAnsi" w:hAnsiTheme="minorHAnsi" w:cstheme="minorHAnsi"/>
        </w:rPr>
        <w:t xml:space="preserve"> </w:t>
      </w:r>
      <w:r>
        <w:rPr>
          <w:rFonts w:asciiTheme="minorHAnsi" w:hAnsiTheme="minorHAnsi" w:cstheme="minorHAnsi"/>
        </w:rPr>
        <w:t xml:space="preserve">2003; </w:t>
      </w:r>
      <w:r w:rsidRPr="00336255">
        <w:rPr>
          <w:rFonts w:asciiTheme="minorHAnsi" w:hAnsiTheme="minorHAnsi" w:cstheme="minorHAnsi"/>
          <w:i/>
          <w:iCs/>
        </w:rPr>
        <w:t>37</w:t>
      </w:r>
      <w:r w:rsidR="00763319">
        <w:rPr>
          <w:rFonts w:asciiTheme="minorHAnsi" w:hAnsiTheme="minorHAnsi" w:cstheme="minorHAnsi"/>
        </w:rPr>
        <w:t xml:space="preserve">(13): </w:t>
      </w:r>
      <w:r w:rsidRPr="00336255">
        <w:rPr>
          <w:rFonts w:asciiTheme="minorHAnsi" w:hAnsiTheme="minorHAnsi" w:cstheme="minorHAnsi"/>
        </w:rPr>
        <w:t>1737-1744.</w:t>
      </w:r>
    </w:p>
    <w:p w14:paraId="2E6F5601" w14:textId="77777777" w:rsidR="003B1A04" w:rsidRPr="003B1A04" w:rsidRDefault="00763319" w:rsidP="003B1A04">
      <w:pPr>
        <w:pStyle w:val="ListParagraph"/>
        <w:numPr>
          <w:ilvl w:val="0"/>
          <w:numId w:val="4"/>
        </w:numPr>
        <w:spacing w:after="0" w:line="480" w:lineRule="auto"/>
        <w:ind w:left="284" w:hanging="284"/>
        <w:rPr>
          <w:rFonts w:asciiTheme="minorHAnsi" w:hAnsiTheme="minorHAnsi" w:cstheme="minorHAnsi"/>
          <w:lang w:val="en"/>
        </w:rPr>
      </w:pPr>
      <w:proofErr w:type="spellStart"/>
      <w:r w:rsidRPr="003B1A04">
        <w:rPr>
          <w:rFonts w:asciiTheme="minorHAnsi" w:hAnsiTheme="minorHAnsi" w:cstheme="minorHAnsi"/>
        </w:rPr>
        <w:t>Brunauer</w:t>
      </w:r>
      <w:proofErr w:type="spellEnd"/>
      <w:r w:rsidRPr="003B1A04">
        <w:rPr>
          <w:rFonts w:asciiTheme="minorHAnsi" w:hAnsiTheme="minorHAnsi" w:cstheme="minorHAnsi"/>
        </w:rPr>
        <w:t xml:space="preserve"> S, Emmett PH, Teller E. Adsorption of gases in multimolecular layers. </w:t>
      </w:r>
      <w:r w:rsidRPr="003B1A04">
        <w:rPr>
          <w:rFonts w:asciiTheme="minorHAnsi" w:hAnsiTheme="minorHAnsi" w:cstheme="minorHAnsi"/>
          <w:i/>
          <w:iCs/>
        </w:rPr>
        <w:t>J Am Chem Soc.</w:t>
      </w:r>
      <w:r w:rsidRPr="003B1A04">
        <w:rPr>
          <w:rFonts w:asciiTheme="minorHAnsi" w:hAnsiTheme="minorHAnsi" w:cstheme="minorHAnsi"/>
        </w:rPr>
        <w:t xml:space="preserve"> 1938; </w:t>
      </w:r>
      <w:r w:rsidRPr="003B1A04">
        <w:rPr>
          <w:rFonts w:asciiTheme="minorHAnsi" w:hAnsiTheme="minorHAnsi" w:cstheme="minorHAnsi"/>
          <w:iCs/>
        </w:rPr>
        <w:t>60</w:t>
      </w:r>
      <w:r w:rsidRPr="003B1A04">
        <w:rPr>
          <w:rFonts w:asciiTheme="minorHAnsi" w:hAnsiTheme="minorHAnsi" w:cstheme="minorHAnsi"/>
        </w:rPr>
        <w:t>(2): 309-319.</w:t>
      </w:r>
    </w:p>
    <w:p w14:paraId="06A3C72D" w14:textId="77777777" w:rsidR="003B1A04" w:rsidRPr="003B1A04" w:rsidRDefault="000465F8" w:rsidP="003B1A04">
      <w:pPr>
        <w:pStyle w:val="ListParagraph"/>
        <w:numPr>
          <w:ilvl w:val="0"/>
          <w:numId w:val="4"/>
        </w:numPr>
        <w:spacing w:after="0" w:line="480" w:lineRule="auto"/>
        <w:ind w:left="284" w:hanging="284"/>
        <w:rPr>
          <w:rFonts w:asciiTheme="minorHAnsi" w:hAnsiTheme="minorHAnsi" w:cstheme="minorHAnsi"/>
          <w:lang w:val="en"/>
        </w:rPr>
      </w:pPr>
      <w:proofErr w:type="spellStart"/>
      <w:r w:rsidRPr="003B1A04">
        <w:rPr>
          <w:rFonts w:asciiTheme="minorHAnsi" w:hAnsiTheme="minorHAnsi" w:cstheme="minorHAnsi"/>
        </w:rPr>
        <w:t>Fissan</w:t>
      </w:r>
      <w:proofErr w:type="spellEnd"/>
      <w:r w:rsidR="003B1A04" w:rsidRPr="003B1A04">
        <w:rPr>
          <w:rFonts w:asciiTheme="minorHAnsi" w:hAnsiTheme="minorHAnsi" w:cstheme="minorHAnsi"/>
        </w:rPr>
        <w:t xml:space="preserve"> H</w:t>
      </w:r>
      <w:r w:rsidRPr="003B1A04">
        <w:rPr>
          <w:rFonts w:asciiTheme="minorHAnsi" w:hAnsiTheme="minorHAnsi" w:cstheme="minorHAnsi"/>
        </w:rPr>
        <w:t xml:space="preserve">, Neumann S, </w:t>
      </w:r>
      <w:proofErr w:type="spellStart"/>
      <w:r w:rsidRPr="003B1A04">
        <w:rPr>
          <w:rFonts w:asciiTheme="minorHAnsi" w:hAnsiTheme="minorHAnsi" w:cstheme="minorHAnsi"/>
        </w:rPr>
        <w:t>Trampe</w:t>
      </w:r>
      <w:proofErr w:type="spellEnd"/>
      <w:r w:rsidRPr="003B1A04">
        <w:rPr>
          <w:rFonts w:asciiTheme="minorHAnsi" w:hAnsiTheme="minorHAnsi" w:cstheme="minorHAnsi"/>
        </w:rPr>
        <w:t xml:space="preserve"> A, </w:t>
      </w:r>
      <w:proofErr w:type="spellStart"/>
      <w:r w:rsidRPr="003B1A04">
        <w:rPr>
          <w:rFonts w:asciiTheme="minorHAnsi" w:hAnsiTheme="minorHAnsi" w:cstheme="minorHAnsi"/>
        </w:rPr>
        <w:t>Pui</w:t>
      </w:r>
      <w:proofErr w:type="spellEnd"/>
      <w:r w:rsidRPr="003B1A04">
        <w:rPr>
          <w:rFonts w:asciiTheme="minorHAnsi" w:hAnsiTheme="minorHAnsi" w:cstheme="minorHAnsi"/>
        </w:rPr>
        <w:t xml:space="preserve"> DYH</w:t>
      </w:r>
      <w:r w:rsidR="003B1A04" w:rsidRPr="003B1A04">
        <w:rPr>
          <w:rFonts w:asciiTheme="minorHAnsi" w:hAnsiTheme="minorHAnsi" w:cstheme="minorHAnsi"/>
        </w:rPr>
        <w:t xml:space="preserve">, </w:t>
      </w:r>
      <w:r w:rsidRPr="003B1A04">
        <w:rPr>
          <w:rFonts w:asciiTheme="minorHAnsi" w:hAnsiTheme="minorHAnsi" w:cstheme="minorHAnsi"/>
        </w:rPr>
        <w:t>Shin WG. Rationale and principle of an instrument measuring lung deposited nanoparticle surface area.</w:t>
      </w:r>
      <w:r w:rsidR="003B1A04" w:rsidRPr="003B1A04">
        <w:rPr>
          <w:rFonts w:asciiTheme="minorHAnsi" w:hAnsiTheme="minorHAnsi" w:cstheme="minorHAnsi"/>
        </w:rPr>
        <w:t xml:space="preserve"> </w:t>
      </w:r>
      <w:r w:rsidR="003B1A04" w:rsidRPr="003B1A04">
        <w:rPr>
          <w:rFonts w:asciiTheme="minorHAnsi" w:hAnsiTheme="minorHAnsi" w:cstheme="minorHAnsi"/>
          <w:i/>
        </w:rPr>
        <w:t>J Nanoparticle Res</w:t>
      </w:r>
      <w:r w:rsidR="003B1A04" w:rsidRPr="003B1A04">
        <w:rPr>
          <w:rFonts w:asciiTheme="minorHAnsi" w:hAnsiTheme="minorHAnsi" w:cstheme="minorHAnsi"/>
        </w:rPr>
        <w:t>. 2007; 9: 53-59.</w:t>
      </w:r>
    </w:p>
    <w:p w14:paraId="364E6CB8" w14:textId="77777777" w:rsidR="003B1A04" w:rsidRPr="003B1A04" w:rsidRDefault="000465F8" w:rsidP="003B1A04">
      <w:pPr>
        <w:pStyle w:val="ListParagraph"/>
        <w:numPr>
          <w:ilvl w:val="0"/>
          <w:numId w:val="4"/>
        </w:numPr>
        <w:spacing w:after="0" w:line="480" w:lineRule="auto"/>
        <w:ind w:left="284" w:hanging="284"/>
        <w:rPr>
          <w:rFonts w:asciiTheme="minorHAnsi" w:hAnsiTheme="minorHAnsi" w:cstheme="minorHAnsi"/>
          <w:lang w:val="en"/>
        </w:rPr>
      </w:pPr>
      <w:r w:rsidRPr="003B1A04">
        <w:rPr>
          <w:rFonts w:asciiTheme="minorHAnsi" w:hAnsiTheme="minorHAnsi" w:cstheme="minorHAnsi"/>
        </w:rPr>
        <w:t>Shin</w:t>
      </w:r>
      <w:r w:rsidR="003B1A04">
        <w:rPr>
          <w:rFonts w:asciiTheme="minorHAnsi" w:hAnsiTheme="minorHAnsi" w:cstheme="minorHAnsi"/>
        </w:rPr>
        <w:t xml:space="preserve"> W</w:t>
      </w:r>
      <w:r w:rsidRPr="003B1A04">
        <w:rPr>
          <w:rFonts w:asciiTheme="minorHAnsi" w:hAnsiTheme="minorHAnsi" w:cstheme="minorHAnsi"/>
        </w:rPr>
        <w:t xml:space="preserve">G, </w:t>
      </w:r>
      <w:proofErr w:type="spellStart"/>
      <w:r w:rsidRPr="003B1A04">
        <w:rPr>
          <w:rFonts w:asciiTheme="minorHAnsi" w:hAnsiTheme="minorHAnsi" w:cstheme="minorHAnsi"/>
        </w:rPr>
        <w:t>Pui</w:t>
      </w:r>
      <w:proofErr w:type="spellEnd"/>
      <w:r w:rsidRPr="003B1A04">
        <w:rPr>
          <w:rFonts w:asciiTheme="minorHAnsi" w:hAnsiTheme="minorHAnsi" w:cstheme="minorHAnsi"/>
        </w:rPr>
        <w:t xml:space="preserve"> DYH, </w:t>
      </w:r>
      <w:proofErr w:type="spellStart"/>
      <w:r w:rsidRPr="003B1A04">
        <w:rPr>
          <w:rFonts w:asciiTheme="minorHAnsi" w:hAnsiTheme="minorHAnsi" w:cstheme="minorHAnsi"/>
        </w:rPr>
        <w:t>Fissan</w:t>
      </w:r>
      <w:proofErr w:type="spellEnd"/>
      <w:r w:rsidRPr="003B1A04">
        <w:rPr>
          <w:rFonts w:asciiTheme="minorHAnsi" w:hAnsiTheme="minorHAnsi" w:cstheme="minorHAnsi"/>
        </w:rPr>
        <w:t xml:space="preserve"> H, Neumann S</w:t>
      </w:r>
      <w:r w:rsidR="003B1A04">
        <w:rPr>
          <w:rFonts w:asciiTheme="minorHAnsi" w:hAnsiTheme="minorHAnsi" w:cstheme="minorHAnsi"/>
        </w:rPr>
        <w:t xml:space="preserve">, </w:t>
      </w:r>
      <w:proofErr w:type="spellStart"/>
      <w:r w:rsidR="003B1A04">
        <w:rPr>
          <w:rFonts w:asciiTheme="minorHAnsi" w:hAnsiTheme="minorHAnsi" w:cstheme="minorHAnsi"/>
        </w:rPr>
        <w:t>Trampe</w:t>
      </w:r>
      <w:proofErr w:type="spellEnd"/>
      <w:r w:rsidRPr="003B1A04">
        <w:rPr>
          <w:rFonts w:asciiTheme="minorHAnsi" w:hAnsiTheme="minorHAnsi" w:cstheme="minorHAnsi"/>
        </w:rPr>
        <w:t xml:space="preserve"> A. Calibration and numerical simulation of nanoparticle surface area monitor (TSI model 3550 NSAM</w:t>
      </w:r>
      <w:r w:rsidR="003B1A04">
        <w:rPr>
          <w:rFonts w:asciiTheme="minorHAnsi" w:hAnsiTheme="minorHAnsi" w:cstheme="minorHAnsi"/>
        </w:rPr>
        <w:t xml:space="preserve">). </w:t>
      </w:r>
      <w:r w:rsidR="003B1A04" w:rsidRPr="003B1A04">
        <w:rPr>
          <w:rFonts w:asciiTheme="minorHAnsi" w:hAnsiTheme="minorHAnsi" w:cstheme="minorHAnsi"/>
          <w:i/>
        </w:rPr>
        <w:t>J Nanoparticle Res</w:t>
      </w:r>
      <w:r w:rsidR="003B1A04" w:rsidRPr="003B1A04">
        <w:rPr>
          <w:rFonts w:asciiTheme="minorHAnsi" w:hAnsiTheme="minorHAnsi" w:cstheme="minorHAnsi"/>
        </w:rPr>
        <w:t xml:space="preserve">. 2007; 9: </w:t>
      </w:r>
      <w:r w:rsidR="003B1A04">
        <w:rPr>
          <w:rFonts w:asciiTheme="minorHAnsi" w:hAnsiTheme="minorHAnsi" w:cstheme="minorHAnsi"/>
        </w:rPr>
        <w:t>61-69.</w:t>
      </w:r>
    </w:p>
    <w:p w14:paraId="1D7DCF4F" w14:textId="77777777" w:rsidR="003B1A04" w:rsidRPr="003B1A04" w:rsidRDefault="003B1A04" w:rsidP="003B1A04">
      <w:pPr>
        <w:pStyle w:val="ListParagraph"/>
        <w:numPr>
          <w:ilvl w:val="0"/>
          <w:numId w:val="4"/>
        </w:numPr>
        <w:spacing w:after="0" w:line="480" w:lineRule="auto"/>
        <w:ind w:left="284" w:hanging="284"/>
        <w:rPr>
          <w:rFonts w:asciiTheme="minorHAnsi" w:hAnsiTheme="minorHAnsi" w:cstheme="minorHAnsi"/>
          <w:lang w:val="en"/>
        </w:rPr>
      </w:pPr>
      <w:r>
        <w:rPr>
          <w:rFonts w:asciiTheme="minorHAnsi" w:hAnsiTheme="minorHAnsi" w:cstheme="minorHAnsi"/>
        </w:rPr>
        <w:t>Keller</w:t>
      </w:r>
      <w:r w:rsidR="000465F8" w:rsidRPr="003B1A04">
        <w:rPr>
          <w:rFonts w:asciiTheme="minorHAnsi" w:hAnsiTheme="minorHAnsi" w:cstheme="minorHAnsi"/>
        </w:rPr>
        <w:t xml:space="preserve"> A, </w:t>
      </w:r>
      <w:proofErr w:type="spellStart"/>
      <w:r w:rsidR="000465F8" w:rsidRPr="003B1A04">
        <w:rPr>
          <w:rFonts w:asciiTheme="minorHAnsi" w:hAnsiTheme="minorHAnsi" w:cstheme="minorHAnsi"/>
        </w:rPr>
        <w:t>Fierz</w:t>
      </w:r>
      <w:proofErr w:type="spellEnd"/>
      <w:r>
        <w:rPr>
          <w:rFonts w:asciiTheme="minorHAnsi" w:hAnsiTheme="minorHAnsi" w:cstheme="minorHAnsi"/>
        </w:rPr>
        <w:t xml:space="preserve"> M</w:t>
      </w:r>
      <w:r w:rsidR="000465F8" w:rsidRPr="003B1A04">
        <w:rPr>
          <w:rFonts w:asciiTheme="minorHAnsi" w:hAnsiTheme="minorHAnsi" w:cstheme="minorHAnsi"/>
        </w:rPr>
        <w:t xml:space="preserve">, </w:t>
      </w:r>
      <w:proofErr w:type="spellStart"/>
      <w:r w:rsidR="000465F8" w:rsidRPr="003B1A04">
        <w:rPr>
          <w:rFonts w:asciiTheme="minorHAnsi" w:hAnsiTheme="minorHAnsi" w:cstheme="minorHAnsi"/>
        </w:rPr>
        <w:t>Siegmann</w:t>
      </w:r>
      <w:proofErr w:type="spellEnd"/>
      <w:r w:rsidR="000465F8" w:rsidRPr="003B1A04">
        <w:rPr>
          <w:rFonts w:asciiTheme="minorHAnsi" w:hAnsiTheme="minorHAnsi" w:cstheme="minorHAnsi"/>
        </w:rPr>
        <w:t xml:space="preserve"> K, </w:t>
      </w:r>
      <w:proofErr w:type="spellStart"/>
      <w:r w:rsidR="000465F8" w:rsidRPr="003B1A04">
        <w:rPr>
          <w:rFonts w:asciiTheme="minorHAnsi" w:hAnsiTheme="minorHAnsi" w:cstheme="minorHAnsi"/>
        </w:rPr>
        <w:t>Siegmann</w:t>
      </w:r>
      <w:proofErr w:type="spellEnd"/>
      <w:r w:rsidR="000465F8" w:rsidRPr="003B1A04">
        <w:rPr>
          <w:rFonts w:asciiTheme="minorHAnsi" w:hAnsiTheme="minorHAnsi" w:cstheme="minorHAnsi"/>
        </w:rPr>
        <w:t xml:space="preserve"> HC</w:t>
      </w:r>
      <w:r>
        <w:rPr>
          <w:rFonts w:asciiTheme="minorHAnsi" w:hAnsiTheme="minorHAnsi" w:cstheme="minorHAnsi"/>
        </w:rPr>
        <w:t xml:space="preserve">, </w:t>
      </w:r>
      <w:proofErr w:type="spellStart"/>
      <w:r w:rsidR="000465F8" w:rsidRPr="003B1A04">
        <w:rPr>
          <w:rFonts w:asciiTheme="minorHAnsi" w:hAnsiTheme="minorHAnsi" w:cstheme="minorHAnsi"/>
        </w:rPr>
        <w:t>Filippov</w:t>
      </w:r>
      <w:proofErr w:type="spellEnd"/>
      <w:r w:rsidR="000465F8" w:rsidRPr="003B1A04">
        <w:rPr>
          <w:rFonts w:asciiTheme="minorHAnsi" w:hAnsiTheme="minorHAnsi" w:cstheme="minorHAnsi"/>
        </w:rPr>
        <w:t xml:space="preserve"> A. Surface science with nanosized particles in a carrier gas. </w:t>
      </w:r>
      <w:r>
        <w:rPr>
          <w:rFonts w:asciiTheme="minorHAnsi" w:hAnsiTheme="minorHAnsi" w:cstheme="minorHAnsi"/>
          <w:i/>
          <w:iCs/>
        </w:rPr>
        <w:t>J Vac</w:t>
      </w:r>
      <w:r w:rsidR="000465F8" w:rsidRPr="003B1A04">
        <w:rPr>
          <w:rFonts w:asciiTheme="minorHAnsi" w:hAnsiTheme="minorHAnsi" w:cstheme="minorHAnsi"/>
          <w:i/>
          <w:iCs/>
        </w:rPr>
        <w:t xml:space="preserve"> Sci Tech A</w:t>
      </w:r>
      <w:r w:rsidRPr="003B1A04">
        <w:rPr>
          <w:rFonts w:asciiTheme="minorHAnsi" w:hAnsiTheme="minorHAnsi" w:cstheme="minorHAnsi"/>
          <w:iCs/>
        </w:rPr>
        <w:t xml:space="preserve">. </w:t>
      </w:r>
      <w:r w:rsidRPr="003B1A04">
        <w:rPr>
          <w:rFonts w:asciiTheme="minorHAnsi" w:hAnsiTheme="minorHAnsi" w:cstheme="minorHAnsi"/>
        </w:rPr>
        <w:t xml:space="preserve">2001; </w:t>
      </w:r>
      <w:r w:rsidR="000465F8" w:rsidRPr="003B1A04">
        <w:rPr>
          <w:rFonts w:asciiTheme="minorHAnsi" w:hAnsiTheme="minorHAnsi" w:cstheme="minorHAnsi"/>
          <w:iCs/>
        </w:rPr>
        <w:t>19</w:t>
      </w:r>
      <w:r w:rsidR="000465F8" w:rsidRPr="003B1A04">
        <w:rPr>
          <w:rFonts w:asciiTheme="minorHAnsi" w:hAnsiTheme="minorHAnsi" w:cstheme="minorHAnsi"/>
        </w:rPr>
        <w:t>(1)</w:t>
      </w:r>
      <w:r>
        <w:rPr>
          <w:rFonts w:asciiTheme="minorHAnsi" w:hAnsiTheme="minorHAnsi" w:cstheme="minorHAnsi"/>
        </w:rPr>
        <w:t xml:space="preserve">: </w:t>
      </w:r>
      <w:r w:rsidR="000465F8" w:rsidRPr="003B1A04">
        <w:rPr>
          <w:rFonts w:asciiTheme="minorHAnsi" w:hAnsiTheme="minorHAnsi" w:cstheme="minorHAnsi"/>
        </w:rPr>
        <w:t>1-8.</w:t>
      </w:r>
    </w:p>
    <w:p w14:paraId="4D40DC80" w14:textId="788CEEA7" w:rsidR="003B1A04" w:rsidRPr="003B1A04" w:rsidRDefault="003B1A04" w:rsidP="003B1A04">
      <w:pPr>
        <w:pStyle w:val="ListParagraph"/>
        <w:numPr>
          <w:ilvl w:val="0"/>
          <w:numId w:val="4"/>
        </w:numPr>
        <w:spacing w:after="0" w:line="480" w:lineRule="auto"/>
        <w:ind w:left="284" w:hanging="284"/>
        <w:rPr>
          <w:rStyle w:val="element-citation"/>
          <w:rFonts w:asciiTheme="minorHAnsi" w:hAnsiTheme="minorHAnsi" w:cstheme="minorHAnsi"/>
          <w:lang w:val="en"/>
        </w:rPr>
      </w:pPr>
      <w:r w:rsidRPr="003B1A04">
        <w:rPr>
          <w:rFonts w:asciiTheme="minorHAnsi" w:hAnsiTheme="minorHAnsi" w:cstheme="minorHAnsi"/>
        </w:rPr>
        <w:t>Ku BK</w:t>
      </w:r>
      <w:r w:rsidR="001C058F">
        <w:rPr>
          <w:rFonts w:asciiTheme="minorHAnsi" w:hAnsiTheme="minorHAnsi" w:cstheme="minorHAnsi"/>
        </w:rPr>
        <w:t>,</w:t>
      </w:r>
      <w:r>
        <w:rPr>
          <w:rFonts w:asciiTheme="minorHAnsi" w:hAnsiTheme="minorHAnsi" w:cstheme="minorHAnsi"/>
        </w:rPr>
        <w:t xml:space="preserve"> </w:t>
      </w:r>
      <w:r w:rsidRPr="003B1A04">
        <w:rPr>
          <w:rFonts w:asciiTheme="minorHAnsi" w:hAnsiTheme="minorHAnsi" w:cstheme="minorHAnsi"/>
        </w:rPr>
        <w:t xml:space="preserve">Evans DE. Investigation of aerosol surface area estimation from number and mass concentration measurements: Particle density effect. </w:t>
      </w:r>
      <w:r w:rsidRPr="003B1A04">
        <w:rPr>
          <w:rFonts w:asciiTheme="minorHAnsi" w:hAnsiTheme="minorHAnsi" w:cstheme="minorHAnsi"/>
          <w:i/>
          <w:iCs/>
        </w:rPr>
        <w:t>Aerosol Sci Tech</w:t>
      </w:r>
      <w:r>
        <w:rPr>
          <w:rFonts w:asciiTheme="minorHAnsi" w:hAnsiTheme="minorHAnsi" w:cstheme="minorHAnsi"/>
          <w:i/>
          <w:iCs/>
        </w:rPr>
        <w:t>.</w:t>
      </w:r>
      <w:r w:rsidRPr="003B1A04">
        <w:rPr>
          <w:rFonts w:asciiTheme="minorHAnsi" w:hAnsiTheme="minorHAnsi" w:cstheme="minorHAnsi"/>
        </w:rPr>
        <w:t xml:space="preserve"> 2012; </w:t>
      </w:r>
      <w:r w:rsidRPr="003B1A04">
        <w:rPr>
          <w:rFonts w:asciiTheme="minorHAnsi" w:hAnsiTheme="minorHAnsi" w:cstheme="minorHAnsi"/>
          <w:iCs/>
        </w:rPr>
        <w:t>46</w:t>
      </w:r>
      <w:r>
        <w:rPr>
          <w:rFonts w:asciiTheme="minorHAnsi" w:hAnsiTheme="minorHAnsi" w:cstheme="minorHAnsi"/>
        </w:rPr>
        <w:t xml:space="preserve">(4): </w:t>
      </w:r>
      <w:r w:rsidRPr="003B1A04">
        <w:rPr>
          <w:rFonts w:asciiTheme="minorHAnsi" w:hAnsiTheme="minorHAnsi" w:cstheme="minorHAnsi"/>
        </w:rPr>
        <w:t>473-484.</w:t>
      </w:r>
    </w:p>
    <w:p w14:paraId="6F123EDD" w14:textId="78DF5C0B" w:rsidR="001710D3" w:rsidRPr="003B1A04" w:rsidRDefault="001710D3" w:rsidP="003B1A04">
      <w:pPr>
        <w:pStyle w:val="ListParagraph"/>
        <w:spacing w:after="0" w:line="480" w:lineRule="auto"/>
        <w:ind w:left="284"/>
        <w:rPr>
          <w:rFonts w:asciiTheme="minorHAnsi" w:hAnsiTheme="minorHAnsi" w:cstheme="minorHAnsi"/>
          <w:lang w:val="en"/>
        </w:rPr>
      </w:pPr>
    </w:p>
    <w:p w14:paraId="42E7C829" w14:textId="77777777" w:rsidR="00356132" w:rsidRDefault="00356132" w:rsidP="00425DCE">
      <w:pPr>
        <w:spacing w:after="0" w:line="480" w:lineRule="auto"/>
        <w:ind w:left="567" w:hanging="567"/>
        <w:rPr>
          <w:rFonts w:asciiTheme="minorHAnsi" w:hAnsiTheme="minorHAnsi" w:cstheme="minorHAnsi"/>
          <w:color w:val="222222"/>
        </w:rPr>
      </w:pPr>
    </w:p>
    <w:p w14:paraId="2255E13D" w14:textId="77777777" w:rsidR="00356132" w:rsidRDefault="00356132" w:rsidP="00425DCE">
      <w:pPr>
        <w:spacing w:after="0" w:line="480" w:lineRule="auto"/>
        <w:ind w:left="567" w:hanging="567"/>
        <w:rPr>
          <w:rFonts w:asciiTheme="minorHAnsi" w:hAnsiTheme="minorHAnsi" w:cstheme="minorHAnsi"/>
          <w:color w:val="222222"/>
        </w:rPr>
      </w:pPr>
    </w:p>
    <w:p w14:paraId="6BF35E19" w14:textId="77777777" w:rsidR="00356132" w:rsidRDefault="00356132" w:rsidP="00425DCE">
      <w:pPr>
        <w:spacing w:after="0" w:line="480" w:lineRule="auto"/>
        <w:ind w:left="567" w:hanging="567"/>
        <w:rPr>
          <w:rFonts w:asciiTheme="minorHAnsi" w:hAnsiTheme="minorHAnsi" w:cstheme="minorHAnsi"/>
          <w:color w:val="222222"/>
        </w:rPr>
      </w:pPr>
    </w:p>
    <w:sectPr w:rsidR="00356132">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3706B"/>
    <w:multiLevelType w:val="hybridMultilevel"/>
    <w:tmpl w:val="A412D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345BB8"/>
    <w:multiLevelType w:val="hybridMultilevel"/>
    <w:tmpl w:val="6044A3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FB3EDE"/>
    <w:multiLevelType w:val="hybridMultilevel"/>
    <w:tmpl w:val="9672FF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4E4B03"/>
    <w:multiLevelType w:val="hybridMultilevel"/>
    <w:tmpl w:val="2A5EDC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7E840A3"/>
    <w:multiLevelType w:val="hybridMultilevel"/>
    <w:tmpl w:val="84E4A7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S0NDc1tDC2MDI0szBS0lEKTi0uzszPAykwrAUA4aRlTSwAAAA="/>
  </w:docVars>
  <w:rsids>
    <w:rsidRoot w:val="00C3467B"/>
    <w:rsid w:val="000465F8"/>
    <w:rsid w:val="00140AA1"/>
    <w:rsid w:val="00155D2C"/>
    <w:rsid w:val="001710D3"/>
    <w:rsid w:val="001A660B"/>
    <w:rsid w:val="001C058F"/>
    <w:rsid w:val="002D3A9B"/>
    <w:rsid w:val="002F55B8"/>
    <w:rsid w:val="00336255"/>
    <w:rsid w:val="00356132"/>
    <w:rsid w:val="00384D2D"/>
    <w:rsid w:val="003A0899"/>
    <w:rsid w:val="003B1A04"/>
    <w:rsid w:val="00425DCE"/>
    <w:rsid w:val="00470279"/>
    <w:rsid w:val="00563545"/>
    <w:rsid w:val="007216B8"/>
    <w:rsid w:val="00743859"/>
    <w:rsid w:val="00763319"/>
    <w:rsid w:val="0077108E"/>
    <w:rsid w:val="007C5B4D"/>
    <w:rsid w:val="00853A5D"/>
    <w:rsid w:val="0090621B"/>
    <w:rsid w:val="0092394D"/>
    <w:rsid w:val="00990DFE"/>
    <w:rsid w:val="00AE43E5"/>
    <w:rsid w:val="00B5432C"/>
    <w:rsid w:val="00C10F8B"/>
    <w:rsid w:val="00C3467B"/>
    <w:rsid w:val="00C6584D"/>
    <w:rsid w:val="00C90B45"/>
    <w:rsid w:val="00C90FA6"/>
    <w:rsid w:val="00CC67EF"/>
    <w:rsid w:val="00DB3A98"/>
    <w:rsid w:val="00E2003E"/>
    <w:rsid w:val="00E23095"/>
    <w:rsid w:val="00E413B6"/>
    <w:rsid w:val="00E807F1"/>
    <w:rsid w:val="00FA0B61"/>
    <w:rsid w:val="00FA3C21"/>
    <w:rsid w:val="00FF371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299D"/>
  <w15:docId w15:val="{ED4C4EFC-EE83-4311-A4C5-B25F3893B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62D0C"/>
    <w:pPr>
      <w:ind w:left="720"/>
      <w:contextualSpacing/>
    </w:pPr>
  </w:style>
  <w:style w:type="paragraph" w:styleId="BalloonText">
    <w:name w:val="Balloon Text"/>
    <w:basedOn w:val="Normal"/>
    <w:link w:val="BalloonTextChar"/>
    <w:uiPriority w:val="99"/>
    <w:semiHidden/>
    <w:unhideWhenUsed/>
    <w:rsid w:val="00337A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A04"/>
    <w:rPr>
      <w:rFonts w:ascii="Tahoma" w:hAnsi="Tahoma" w:cs="Tahoma"/>
      <w:sz w:val="16"/>
      <w:szCs w:val="16"/>
      <w:lang w:val="en-US"/>
    </w:rPr>
  </w:style>
  <w:style w:type="paragraph" w:customStyle="1" w:styleId="iehb">
    <w:name w:val="ieh b"/>
    <w:basedOn w:val="Normal"/>
    <w:next w:val="Normal"/>
    <w:rsid w:val="00486539"/>
    <w:pPr>
      <w:keepNext/>
      <w:overflowPunct w:val="0"/>
      <w:autoSpaceDE w:val="0"/>
      <w:autoSpaceDN w:val="0"/>
      <w:adjustRightInd w:val="0"/>
      <w:spacing w:before="120" w:after="240" w:line="240" w:lineRule="auto"/>
      <w:textAlignment w:val="baseline"/>
    </w:pPr>
    <w:rPr>
      <w:rFonts w:ascii="Century Gothic" w:eastAsia="Times New Roman" w:hAnsi="Century Gothic" w:cs="Times New Roman"/>
      <w:b/>
      <w:noProof/>
      <w:sz w:val="36"/>
      <w:szCs w:val="20"/>
      <w:lang w:val="en-GB" w:eastAsia="en-GB"/>
    </w:rPr>
  </w:style>
  <w:style w:type="character" w:styleId="CommentReference">
    <w:name w:val="annotation reference"/>
    <w:basedOn w:val="DefaultParagraphFont"/>
    <w:uiPriority w:val="99"/>
    <w:semiHidden/>
    <w:unhideWhenUsed/>
    <w:rsid w:val="00486539"/>
    <w:rPr>
      <w:sz w:val="16"/>
      <w:szCs w:val="16"/>
    </w:rPr>
  </w:style>
  <w:style w:type="paragraph" w:styleId="CommentText">
    <w:name w:val="annotation text"/>
    <w:basedOn w:val="Normal"/>
    <w:link w:val="CommentTextChar"/>
    <w:uiPriority w:val="99"/>
    <w:unhideWhenUsed/>
    <w:rsid w:val="00486539"/>
    <w:pPr>
      <w:spacing w:line="240" w:lineRule="auto"/>
    </w:pPr>
    <w:rPr>
      <w:sz w:val="20"/>
      <w:szCs w:val="20"/>
      <w:lang w:val="en-GB" w:eastAsia="en-GB"/>
    </w:rPr>
  </w:style>
  <w:style w:type="character" w:customStyle="1" w:styleId="CommentTextChar">
    <w:name w:val="Comment Text Char"/>
    <w:basedOn w:val="DefaultParagraphFont"/>
    <w:link w:val="CommentText"/>
    <w:uiPriority w:val="99"/>
    <w:rsid w:val="00486539"/>
    <w:rPr>
      <w:sz w:val="20"/>
      <w:szCs w:val="20"/>
      <w:lang w:eastAsia="en-GB"/>
    </w:rPr>
  </w:style>
  <w:style w:type="character" w:customStyle="1" w:styleId="apple-converted-space">
    <w:name w:val="apple-converted-space"/>
    <w:basedOn w:val="DefaultParagraphFont"/>
    <w:rsid w:val="00486539"/>
  </w:style>
  <w:style w:type="character" w:styleId="Emphasis">
    <w:name w:val="Emphasis"/>
    <w:basedOn w:val="DefaultParagraphFont"/>
    <w:uiPriority w:val="20"/>
    <w:qFormat/>
    <w:rsid w:val="00486539"/>
    <w:rPr>
      <w:i/>
      <w:iCs/>
    </w:rPr>
  </w:style>
  <w:style w:type="paragraph" w:styleId="Header">
    <w:name w:val="header"/>
    <w:basedOn w:val="Normal"/>
    <w:link w:val="HeaderChar"/>
    <w:uiPriority w:val="99"/>
    <w:unhideWhenUsed/>
    <w:rsid w:val="00D101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135"/>
    <w:rPr>
      <w:lang w:val="en-US"/>
    </w:rPr>
  </w:style>
  <w:style w:type="paragraph" w:styleId="Footer">
    <w:name w:val="footer"/>
    <w:basedOn w:val="Normal"/>
    <w:link w:val="FooterChar"/>
    <w:uiPriority w:val="99"/>
    <w:unhideWhenUsed/>
    <w:rsid w:val="00D101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135"/>
    <w:rPr>
      <w:lang w:val="en-US"/>
    </w:rPr>
  </w:style>
  <w:style w:type="table" w:styleId="LightShading">
    <w:name w:val="Light Shading"/>
    <w:basedOn w:val="TableNormal"/>
    <w:uiPriority w:val="60"/>
    <w:rsid w:val="003E7E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idTable6Colorful">
    <w:name w:val="Grid Table 6 Colorful"/>
    <w:basedOn w:val="TableNormal"/>
    <w:uiPriority w:val="51"/>
    <w:rsid w:val="003E7E3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rsid w:val="0086770E"/>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F322E8"/>
    <w:rPr>
      <w:b/>
      <w:bCs/>
      <w:lang w:val="en-US" w:eastAsia="zh-CN"/>
    </w:rPr>
  </w:style>
  <w:style w:type="character" w:customStyle="1" w:styleId="CommentSubjectChar">
    <w:name w:val="Comment Subject Char"/>
    <w:basedOn w:val="CommentTextChar"/>
    <w:link w:val="CommentSubject"/>
    <w:uiPriority w:val="99"/>
    <w:semiHidden/>
    <w:rsid w:val="00F322E8"/>
    <w:rPr>
      <w:b/>
      <w:bCs/>
      <w:sz w:val="20"/>
      <w:szCs w:val="20"/>
      <w:lang w:val="en-US" w:eastAsia="en-GB"/>
    </w:rPr>
  </w:style>
  <w:style w:type="paragraph" w:styleId="NormalWeb">
    <w:name w:val="Normal (Web)"/>
    <w:basedOn w:val="Normal"/>
    <w:uiPriority w:val="99"/>
    <w:semiHidden/>
    <w:unhideWhenUsed/>
    <w:rsid w:val="009420E2"/>
    <w:pPr>
      <w:spacing w:before="100" w:beforeAutospacing="1" w:after="100" w:afterAutospacing="1" w:line="240" w:lineRule="auto"/>
    </w:pPr>
    <w:rPr>
      <w:rFonts w:ascii="Times New Roman" w:eastAsia="Times New Roman" w:hAnsi="Times New Roman" w:cs="Times New Roman"/>
      <w:sz w:val="24"/>
      <w:szCs w:val="24"/>
      <w:lang w:val="en-GB"/>
    </w:rPr>
  </w:style>
  <w:style w:type="table" w:styleId="TableGrid">
    <w:name w:val="Table Grid"/>
    <w:basedOn w:val="TableNormal"/>
    <w:uiPriority w:val="39"/>
    <w:rsid w:val="00B64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294771"/>
  </w:style>
  <w:style w:type="character" w:customStyle="1" w:styleId="UnresolvedMention1">
    <w:name w:val="Unresolved Mention1"/>
    <w:basedOn w:val="DefaultParagraphFont"/>
    <w:uiPriority w:val="99"/>
    <w:semiHidden/>
    <w:unhideWhenUsed/>
    <w:rsid w:val="00F01A5A"/>
    <w:rPr>
      <w:color w:val="605E5C"/>
      <w:shd w:val="clear" w:color="auto" w:fill="E1DFDD"/>
    </w:rPr>
  </w:style>
  <w:style w:type="paragraph" w:customStyle="1" w:styleId="Default">
    <w:name w:val="Default"/>
    <w:rsid w:val="00DC1F63"/>
    <w:pPr>
      <w:autoSpaceDE w:val="0"/>
      <w:autoSpaceDN w:val="0"/>
      <w:adjustRightInd w:val="0"/>
      <w:spacing w:after="0" w:line="240" w:lineRule="auto"/>
    </w:pPr>
    <w:rPr>
      <w:rFonts w:ascii="Arial" w:hAnsi="Arial" w:cs="Arial"/>
      <w:color w:val="000000"/>
      <w:sz w:val="24"/>
      <w:szCs w:val="24"/>
    </w:rPr>
  </w:style>
  <w:style w:type="paragraph" w:customStyle="1" w:styleId="EndNoteBibliographyTitle">
    <w:name w:val="EndNote Bibliography Title"/>
    <w:basedOn w:val="Normal"/>
    <w:link w:val="EndNoteBibliographyTitleChar"/>
    <w:rsid w:val="00BC0190"/>
    <w:pPr>
      <w:spacing w:after="0"/>
      <w:jc w:val="center"/>
    </w:pPr>
    <w:rPr>
      <w:noProof/>
    </w:rPr>
  </w:style>
  <w:style w:type="character" w:customStyle="1" w:styleId="EndNoteBibliographyTitleChar">
    <w:name w:val="EndNote Bibliography Title Char"/>
    <w:basedOn w:val="DefaultParagraphFont"/>
    <w:link w:val="EndNoteBibliographyTitle"/>
    <w:rsid w:val="00BC0190"/>
    <w:rPr>
      <w:rFonts w:ascii="Calibri" w:hAnsi="Calibri" w:cs="Calibri"/>
      <w:noProof/>
      <w:lang w:val="en-US"/>
    </w:rPr>
  </w:style>
  <w:style w:type="paragraph" w:customStyle="1" w:styleId="EndNoteBibliography">
    <w:name w:val="EndNote Bibliography"/>
    <w:basedOn w:val="Normal"/>
    <w:link w:val="EndNoteBibliographyChar"/>
    <w:rsid w:val="00BC0190"/>
    <w:pPr>
      <w:spacing w:line="240" w:lineRule="auto"/>
    </w:pPr>
    <w:rPr>
      <w:noProof/>
    </w:rPr>
  </w:style>
  <w:style w:type="character" w:customStyle="1" w:styleId="EndNoteBibliographyChar">
    <w:name w:val="EndNote Bibliography Char"/>
    <w:basedOn w:val="DefaultParagraphFont"/>
    <w:link w:val="EndNoteBibliography"/>
    <w:rsid w:val="00BC0190"/>
    <w:rPr>
      <w:rFonts w:ascii="Calibri" w:hAnsi="Calibri" w:cs="Calibri"/>
      <w:noProof/>
      <w:lang w:val="en-US"/>
    </w:rPr>
  </w:style>
  <w:style w:type="paragraph" w:styleId="Revision">
    <w:name w:val="Revision"/>
    <w:hidden/>
    <w:uiPriority w:val="99"/>
    <w:semiHidden/>
    <w:rsid w:val="00F52A7E"/>
    <w:pPr>
      <w:spacing w:after="0" w:line="240" w:lineRule="auto"/>
    </w:pPr>
  </w:style>
  <w:style w:type="table" w:customStyle="1" w:styleId="TableGrid1">
    <w:name w:val="Table Grid1"/>
    <w:basedOn w:val="TableNormal"/>
    <w:next w:val="TableGrid"/>
    <w:uiPriority w:val="39"/>
    <w:rsid w:val="00DF7A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0">
    <w:basedOn w:val="TableNormal"/>
    <w:pPr>
      <w:spacing w:after="0" w:line="240" w:lineRule="auto"/>
    </w:pPr>
    <w:rPr>
      <w:color w:val="000000"/>
    </w:rPr>
    <w:tblPr>
      <w:tblStyleRowBandSize w:val="1"/>
      <w:tblStyleColBandSize w:val="1"/>
    </w:tblPr>
  </w:style>
  <w:style w:type="table" w:customStyle="1" w:styleId="a1">
    <w:basedOn w:val="TableNormal"/>
    <w:pPr>
      <w:spacing w:after="0" w:line="240" w:lineRule="auto"/>
    </w:pPr>
    <w:rPr>
      <w:color w:val="000000"/>
    </w:r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character" w:styleId="Strong">
    <w:name w:val="Strong"/>
    <w:basedOn w:val="DefaultParagraphFont"/>
    <w:uiPriority w:val="22"/>
    <w:qFormat/>
    <w:rsid w:val="0090621B"/>
    <w:rPr>
      <w:b/>
      <w:bCs/>
    </w:rPr>
  </w:style>
  <w:style w:type="character" w:customStyle="1" w:styleId="element-citation">
    <w:name w:val="element-citation"/>
    <w:basedOn w:val="DefaultParagraphFont"/>
    <w:rsid w:val="00DB3A98"/>
  </w:style>
  <w:style w:type="character" w:customStyle="1" w:styleId="ref-journal">
    <w:name w:val="ref-journal"/>
    <w:basedOn w:val="DefaultParagraphFont"/>
    <w:rsid w:val="00DB3A98"/>
  </w:style>
  <w:style w:type="character" w:customStyle="1" w:styleId="ref-vol">
    <w:name w:val="ref-vol"/>
    <w:basedOn w:val="DefaultParagraphFont"/>
    <w:rsid w:val="00DB3A98"/>
  </w:style>
  <w:style w:type="character" w:customStyle="1" w:styleId="bullet2">
    <w:name w:val="bullet2"/>
    <w:basedOn w:val="DefaultParagraphFont"/>
    <w:rsid w:val="00356132"/>
  </w:style>
  <w:style w:type="character" w:customStyle="1" w:styleId="author">
    <w:name w:val="author"/>
    <w:basedOn w:val="DefaultParagraphFont"/>
    <w:rsid w:val="00356132"/>
  </w:style>
  <w:style w:type="character" w:customStyle="1" w:styleId="articletitle">
    <w:name w:val="articletitle"/>
    <w:basedOn w:val="DefaultParagraphFont"/>
    <w:rsid w:val="00356132"/>
  </w:style>
  <w:style w:type="character" w:customStyle="1" w:styleId="pubyear">
    <w:name w:val="pubyear"/>
    <w:basedOn w:val="DefaultParagraphFont"/>
    <w:rsid w:val="00356132"/>
  </w:style>
  <w:style w:type="character" w:customStyle="1" w:styleId="vol3">
    <w:name w:val="vol3"/>
    <w:basedOn w:val="DefaultParagraphFont"/>
    <w:rsid w:val="00356132"/>
  </w:style>
  <w:style w:type="character" w:customStyle="1" w:styleId="citedissue">
    <w:name w:val="citedissue"/>
    <w:basedOn w:val="DefaultParagraphFont"/>
    <w:rsid w:val="00356132"/>
  </w:style>
  <w:style w:type="character" w:customStyle="1" w:styleId="pagefirst">
    <w:name w:val="pagefirst"/>
    <w:basedOn w:val="DefaultParagraphFont"/>
    <w:rsid w:val="00356132"/>
  </w:style>
  <w:style w:type="character" w:customStyle="1" w:styleId="pagelast">
    <w:name w:val="pagelast"/>
    <w:basedOn w:val="DefaultParagraphFont"/>
    <w:rsid w:val="00356132"/>
  </w:style>
  <w:style w:type="character" w:customStyle="1" w:styleId="u-visually-hidden1">
    <w:name w:val="u-visually-hidden1"/>
    <w:basedOn w:val="DefaultParagraphFont"/>
    <w:rsid w:val="003B1A04"/>
    <w:rPr>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439225">
      <w:bodyDiv w:val="1"/>
      <w:marLeft w:val="0"/>
      <w:marRight w:val="0"/>
      <w:marTop w:val="0"/>
      <w:marBottom w:val="0"/>
      <w:divBdr>
        <w:top w:val="none" w:sz="0" w:space="0" w:color="auto"/>
        <w:left w:val="none" w:sz="0" w:space="0" w:color="auto"/>
        <w:bottom w:val="none" w:sz="0" w:space="0" w:color="auto"/>
        <w:right w:val="none" w:sz="0" w:space="0" w:color="auto"/>
      </w:divBdr>
    </w:div>
    <w:div w:id="1320891214">
      <w:bodyDiv w:val="1"/>
      <w:marLeft w:val="0"/>
      <w:marRight w:val="0"/>
      <w:marTop w:val="0"/>
      <w:marBottom w:val="0"/>
      <w:divBdr>
        <w:top w:val="none" w:sz="0" w:space="0" w:color="auto"/>
        <w:left w:val="none" w:sz="0" w:space="0" w:color="auto"/>
        <w:bottom w:val="none" w:sz="0" w:space="0" w:color="auto"/>
        <w:right w:val="none" w:sz="0" w:space="0" w:color="auto"/>
      </w:divBdr>
      <w:divsChild>
        <w:div w:id="1787966369">
          <w:marLeft w:val="0"/>
          <w:marRight w:val="0"/>
          <w:marTop w:val="0"/>
          <w:marBottom w:val="0"/>
          <w:divBdr>
            <w:top w:val="single" w:sz="6" w:space="0" w:color="666666"/>
            <w:left w:val="single" w:sz="6" w:space="0" w:color="666666"/>
            <w:bottom w:val="single" w:sz="6" w:space="0" w:color="666666"/>
            <w:right w:val="single" w:sz="6" w:space="0" w:color="666666"/>
          </w:divBdr>
          <w:divsChild>
            <w:div w:id="4175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29335">
      <w:bodyDiv w:val="1"/>
      <w:marLeft w:val="0"/>
      <w:marRight w:val="0"/>
      <w:marTop w:val="0"/>
      <w:marBottom w:val="0"/>
      <w:divBdr>
        <w:top w:val="none" w:sz="0" w:space="0" w:color="auto"/>
        <w:left w:val="none" w:sz="0" w:space="0" w:color="auto"/>
        <w:bottom w:val="none" w:sz="0" w:space="0" w:color="auto"/>
        <w:right w:val="none" w:sz="0" w:space="0" w:color="auto"/>
      </w:divBdr>
      <w:divsChild>
        <w:div w:id="308167493">
          <w:marLeft w:val="0"/>
          <w:marRight w:val="0"/>
          <w:marTop w:val="0"/>
          <w:marBottom w:val="0"/>
          <w:divBdr>
            <w:top w:val="none" w:sz="0" w:space="0" w:color="auto"/>
            <w:left w:val="none" w:sz="0" w:space="0" w:color="auto"/>
            <w:bottom w:val="none" w:sz="0" w:space="0" w:color="auto"/>
            <w:right w:val="none" w:sz="0" w:space="0" w:color="auto"/>
          </w:divBdr>
          <w:divsChild>
            <w:div w:id="1506818970">
              <w:marLeft w:val="0"/>
              <w:marRight w:val="0"/>
              <w:marTop w:val="100"/>
              <w:marBottom w:val="100"/>
              <w:divBdr>
                <w:top w:val="none" w:sz="0" w:space="0" w:color="auto"/>
                <w:left w:val="none" w:sz="0" w:space="0" w:color="auto"/>
                <w:bottom w:val="none" w:sz="0" w:space="0" w:color="auto"/>
                <w:right w:val="none" w:sz="0" w:space="0" w:color="auto"/>
              </w:divBdr>
              <w:divsChild>
                <w:div w:id="1263103056">
                  <w:marLeft w:val="0"/>
                  <w:marRight w:val="0"/>
                  <w:marTop w:val="0"/>
                  <w:marBottom w:val="0"/>
                  <w:divBdr>
                    <w:top w:val="none" w:sz="0" w:space="0" w:color="auto"/>
                    <w:left w:val="none" w:sz="0" w:space="0" w:color="auto"/>
                    <w:bottom w:val="none" w:sz="0" w:space="0" w:color="auto"/>
                    <w:right w:val="none" w:sz="0" w:space="0" w:color="auto"/>
                  </w:divBdr>
                  <w:divsChild>
                    <w:div w:id="1890140450">
                      <w:marLeft w:val="0"/>
                      <w:marRight w:val="0"/>
                      <w:marTop w:val="0"/>
                      <w:marBottom w:val="0"/>
                      <w:divBdr>
                        <w:top w:val="none" w:sz="0" w:space="0" w:color="auto"/>
                        <w:left w:val="none" w:sz="0" w:space="0" w:color="auto"/>
                        <w:bottom w:val="none" w:sz="0" w:space="0" w:color="auto"/>
                        <w:right w:val="none" w:sz="0" w:space="0" w:color="auto"/>
                      </w:divBdr>
                      <w:divsChild>
                        <w:div w:id="628242279">
                          <w:marLeft w:val="0"/>
                          <w:marRight w:val="0"/>
                          <w:marTop w:val="0"/>
                          <w:marBottom w:val="0"/>
                          <w:divBdr>
                            <w:top w:val="none" w:sz="0" w:space="0" w:color="auto"/>
                            <w:left w:val="none" w:sz="0" w:space="0" w:color="auto"/>
                            <w:bottom w:val="none" w:sz="0" w:space="0" w:color="auto"/>
                            <w:right w:val="none" w:sz="0" w:space="0" w:color="auto"/>
                          </w:divBdr>
                          <w:divsChild>
                            <w:div w:id="857932160">
                              <w:marLeft w:val="0"/>
                              <w:marRight w:val="0"/>
                              <w:marTop w:val="0"/>
                              <w:marBottom w:val="0"/>
                              <w:divBdr>
                                <w:top w:val="none" w:sz="0" w:space="0" w:color="auto"/>
                                <w:left w:val="none" w:sz="0" w:space="0" w:color="auto"/>
                                <w:bottom w:val="none" w:sz="0" w:space="0" w:color="auto"/>
                                <w:right w:val="none" w:sz="0" w:space="0" w:color="auto"/>
                              </w:divBdr>
                              <w:divsChild>
                                <w:div w:id="911358164">
                                  <w:marLeft w:val="0"/>
                                  <w:marRight w:val="0"/>
                                  <w:marTop w:val="100"/>
                                  <w:marBottom w:val="100"/>
                                  <w:divBdr>
                                    <w:top w:val="none" w:sz="0" w:space="0" w:color="auto"/>
                                    <w:left w:val="none" w:sz="0" w:space="0" w:color="auto"/>
                                    <w:bottom w:val="none" w:sz="0" w:space="0" w:color="auto"/>
                                    <w:right w:val="none" w:sz="0" w:space="0" w:color="auto"/>
                                  </w:divBdr>
                                  <w:divsChild>
                                    <w:div w:id="2138183775">
                                      <w:marLeft w:val="0"/>
                                      <w:marRight w:val="0"/>
                                      <w:marTop w:val="0"/>
                                      <w:marBottom w:val="0"/>
                                      <w:divBdr>
                                        <w:top w:val="none" w:sz="0" w:space="0" w:color="auto"/>
                                        <w:left w:val="none" w:sz="0" w:space="0" w:color="auto"/>
                                        <w:bottom w:val="none" w:sz="0" w:space="0" w:color="auto"/>
                                        <w:right w:val="none" w:sz="0" w:space="0" w:color="auto"/>
                                      </w:divBdr>
                                    </w:div>
                                    <w:div w:id="203426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zLtF4ciwKRfQwjNhOm5zPAXFeQ==">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4D3EDE6-C66D-4019-867A-D011905A6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 Guo</dc:creator>
  <cp:lastModifiedBy>Chang Guo</cp:lastModifiedBy>
  <cp:revision>2</cp:revision>
  <dcterms:created xsi:type="dcterms:W3CDTF">2020-11-16T10:55:00Z</dcterms:created>
  <dcterms:modified xsi:type="dcterms:W3CDTF">2020-11-16T10:55:00Z</dcterms:modified>
</cp:coreProperties>
</file>