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E8" w:rsidRDefault="00FE0A0C">
      <w:r>
        <w:rPr>
          <w:noProof/>
          <w:lang w:eastAsia="hu-HU"/>
        </w:rPr>
        <w:drawing>
          <wp:inline distT="0" distB="0" distL="0" distR="0" wp14:anchorId="01E51117" wp14:editId="4BCD3F33">
            <wp:extent cx="5201985" cy="6832767"/>
            <wp:effectExtent l="0" t="0" r="0" b="6350"/>
            <wp:docPr id="12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258" cy="684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62A4" w:rsidRPr="000662A4" w:rsidRDefault="000662A4" w:rsidP="000662A4">
      <w:pPr>
        <w:spacing w:line="240" w:lineRule="auto"/>
        <w:jc w:val="both"/>
        <w:rPr>
          <w:rFonts w:ascii="Palatino Linotype" w:hAnsi="Palatino Linotype" w:cs="Arial"/>
          <w:sz w:val="18"/>
          <w:szCs w:val="18"/>
          <w:lang w:val="en-GB" w:eastAsia="de-AT"/>
        </w:rPr>
      </w:pPr>
      <w:bookmarkStart w:id="0" w:name="_GoBack"/>
      <w:r w:rsidRPr="000662A4">
        <w:rPr>
          <w:rFonts w:ascii="Palatino Linotype" w:hAnsi="Palatino Linotype" w:cs="Arial"/>
          <w:b/>
          <w:sz w:val="18"/>
          <w:szCs w:val="18"/>
          <w:lang w:val="en-GB"/>
        </w:rPr>
        <w:t>Figure S5.</w:t>
      </w:r>
      <w:r w:rsidRPr="000662A4">
        <w:rPr>
          <w:rFonts w:ascii="Palatino Linotype" w:hAnsi="Palatino Linotype" w:cs="Arial"/>
          <w:sz w:val="18"/>
          <w:szCs w:val="18"/>
          <w:lang w:val="en-GB"/>
        </w:rPr>
        <w:t xml:space="preserve"> </w:t>
      </w:r>
      <w:r w:rsidRPr="000662A4">
        <w:rPr>
          <w:rFonts w:ascii="Palatino Linotype" w:hAnsi="Palatino Linotype" w:cs="Arial"/>
          <w:b/>
          <w:sz w:val="18"/>
          <w:szCs w:val="18"/>
          <w:lang w:val="en-GB"/>
        </w:rPr>
        <w:t xml:space="preserve">Subcellular glutathione distribution in </w:t>
      </w:r>
      <w:r w:rsidRPr="000662A4">
        <w:rPr>
          <w:rFonts w:ascii="Palatino Linotype" w:hAnsi="Palatino Linotype" w:cs="Arial"/>
          <w:b/>
          <w:i/>
          <w:sz w:val="18"/>
          <w:szCs w:val="18"/>
          <w:lang w:val="en-GB"/>
        </w:rPr>
        <w:t>Arabidopsis</w:t>
      </w:r>
      <w:r w:rsidRPr="000662A4">
        <w:rPr>
          <w:rFonts w:ascii="Palatino Linotype" w:hAnsi="Palatino Linotype" w:cs="Arial"/>
          <w:b/>
          <w:sz w:val="18"/>
          <w:szCs w:val="18"/>
          <w:lang w:val="en-GB"/>
        </w:rPr>
        <w:t xml:space="preserve"> grown under various light conditions.</w:t>
      </w:r>
      <w:r w:rsidRPr="000662A4">
        <w:rPr>
          <w:rFonts w:ascii="Palatino Linotype" w:hAnsi="Palatino Linotype" w:cs="Arial"/>
          <w:sz w:val="18"/>
          <w:szCs w:val="18"/>
          <w:lang w:val="en-GB"/>
        </w:rPr>
        <w:t xml:space="preserve"> Compartment specific means of gold particles bound to glutathione (± SE) per µm² in A: mitochondria, B: peroxisomes, C: chloroplasts, D: cytosol, E: nuclei of </w:t>
      </w:r>
      <w:r w:rsidRPr="000662A4">
        <w:rPr>
          <w:rFonts w:ascii="Palatino Linotype" w:hAnsi="Palatino Linotype" w:cs="Arial"/>
          <w:i/>
          <w:sz w:val="18"/>
          <w:szCs w:val="18"/>
          <w:lang w:val="en-GB"/>
        </w:rPr>
        <w:t>Arabidopsis</w:t>
      </w:r>
      <w:r w:rsidRPr="000662A4">
        <w:rPr>
          <w:rFonts w:ascii="Palatino Linotype" w:hAnsi="Palatino Linotype" w:cs="Arial"/>
          <w:sz w:val="18"/>
          <w:szCs w:val="18"/>
          <w:lang w:val="en-GB"/>
        </w:rPr>
        <w:t xml:space="preserve"> (Col-0 black circles, </w:t>
      </w:r>
      <w:r w:rsidRPr="000662A4">
        <w:rPr>
          <w:rFonts w:ascii="Palatino Linotype" w:hAnsi="Palatino Linotype" w:cs="Arial"/>
          <w:i/>
          <w:sz w:val="18"/>
          <w:szCs w:val="18"/>
          <w:lang w:val="en-GB"/>
        </w:rPr>
        <w:t>vtc2-1</w:t>
      </w:r>
      <w:r w:rsidRPr="000662A4">
        <w:rPr>
          <w:rFonts w:ascii="Palatino Linotype" w:hAnsi="Palatino Linotype" w:cs="Arial"/>
          <w:sz w:val="18"/>
          <w:szCs w:val="18"/>
          <w:lang w:val="en-GB"/>
        </w:rPr>
        <w:t xml:space="preserve"> black triangles, </w:t>
      </w:r>
      <w:r w:rsidRPr="000662A4">
        <w:rPr>
          <w:rFonts w:ascii="Palatino Linotype" w:hAnsi="Palatino Linotype" w:cs="Arial"/>
          <w:i/>
          <w:sz w:val="18"/>
          <w:szCs w:val="18"/>
          <w:lang w:val="en-GB"/>
        </w:rPr>
        <w:t>pad2-1</w:t>
      </w:r>
      <w:r w:rsidRPr="000662A4">
        <w:rPr>
          <w:rFonts w:ascii="Palatino Linotype" w:hAnsi="Palatino Linotype" w:cs="Arial"/>
          <w:sz w:val="18"/>
          <w:szCs w:val="18"/>
          <w:lang w:val="en-GB"/>
        </w:rPr>
        <w:t xml:space="preserve"> black inverted triangles). Values represent the mean of 60 cell compartments, except &gt;11 for peroxisomes</w:t>
      </w:r>
      <w:r w:rsidRPr="000662A4">
        <w:rPr>
          <w:rFonts w:ascii="Palatino Linotype" w:hAnsi="Palatino Linotype" w:cs="Arial"/>
          <w:sz w:val="18"/>
          <w:szCs w:val="18"/>
          <w:lang w:val="en-GB" w:eastAsia="de-AT"/>
        </w:rPr>
        <w:t xml:space="preserve">. Significant differences between NL and the other treatments (HL, FRL) were compared within the same line (Col-0, </w:t>
      </w:r>
      <w:r w:rsidRPr="000662A4">
        <w:rPr>
          <w:rFonts w:ascii="Palatino Linotype" w:hAnsi="Palatino Linotype" w:cs="Arial"/>
          <w:i/>
          <w:sz w:val="18"/>
          <w:szCs w:val="18"/>
          <w:lang w:val="en-GB" w:eastAsia="de-AT"/>
        </w:rPr>
        <w:t>vtc2-1</w:t>
      </w:r>
      <w:r w:rsidRPr="000662A4">
        <w:rPr>
          <w:rFonts w:ascii="Palatino Linotype" w:hAnsi="Palatino Linotype" w:cs="Arial"/>
          <w:sz w:val="18"/>
          <w:szCs w:val="18"/>
          <w:lang w:val="en-GB" w:eastAsia="de-AT"/>
        </w:rPr>
        <w:t xml:space="preserve">, </w:t>
      </w:r>
      <w:r w:rsidRPr="000662A4">
        <w:rPr>
          <w:rFonts w:ascii="Palatino Linotype" w:hAnsi="Palatino Linotype" w:cs="Arial"/>
          <w:i/>
          <w:sz w:val="18"/>
          <w:szCs w:val="18"/>
          <w:lang w:val="en-GB" w:eastAsia="de-AT"/>
        </w:rPr>
        <w:t>pad2-1</w:t>
      </w:r>
      <w:r w:rsidRPr="000662A4">
        <w:rPr>
          <w:rFonts w:ascii="Palatino Linotype" w:hAnsi="Palatino Linotype" w:cs="Arial"/>
          <w:sz w:val="18"/>
          <w:szCs w:val="18"/>
          <w:lang w:val="en-GB" w:eastAsia="de-AT"/>
        </w:rPr>
        <w:t xml:space="preserve">) by the Mann Whitney U-Test. Significance is indicated at 0.01 (**) or 0.001 (***) level of confidence. </w:t>
      </w:r>
      <w:r w:rsidRPr="000662A4">
        <w:rPr>
          <w:rFonts w:ascii="Palatino Linotype" w:hAnsi="Palatino Linotype"/>
          <w:sz w:val="18"/>
          <w:szCs w:val="18"/>
          <w:lang w:val="en-GB"/>
        </w:rPr>
        <w:t>LL: low light, NL: normal light, HL: high light, FRL: far-red light.</w:t>
      </w:r>
    </w:p>
    <w:bookmarkEnd w:id="0"/>
    <w:p w:rsidR="00FE0A0C" w:rsidRDefault="00FE0A0C"/>
    <w:sectPr w:rsidR="00FE0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0C"/>
    <w:rsid w:val="000662A4"/>
    <w:rsid w:val="007715E8"/>
    <w:rsid w:val="00FE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95BB3-9E76-4954-A52D-867F1891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kocsyg</dc:creator>
  <cp:keywords/>
  <dc:description/>
  <cp:lastModifiedBy>kocsyg</cp:lastModifiedBy>
  <cp:revision>2</cp:revision>
  <dcterms:created xsi:type="dcterms:W3CDTF">2020-12-23T22:23:00Z</dcterms:created>
  <dcterms:modified xsi:type="dcterms:W3CDTF">2021-01-05T13:33:00Z</dcterms:modified>
</cp:coreProperties>
</file>