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1D9" w:rsidRPr="00153BDE" w:rsidRDefault="002341D9" w:rsidP="00BD4006">
      <w:pPr>
        <w:pStyle w:val="berschrift1"/>
        <w:spacing w:line="360" w:lineRule="auto"/>
        <w:jc w:val="both"/>
      </w:pPr>
      <w:r w:rsidRPr="00153BDE">
        <w:t>Supplementary information</w:t>
      </w:r>
    </w:p>
    <w:p w:rsidR="002341D9" w:rsidRPr="002341D9" w:rsidRDefault="002341D9" w:rsidP="00BD4006">
      <w:pPr>
        <w:spacing w:after="0" w:line="360" w:lineRule="auto"/>
        <w:jc w:val="both"/>
        <w:rPr>
          <w:rFonts w:ascii="Arial" w:hAnsi="Arial" w:cs="Arial"/>
          <w:b/>
        </w:rPr>
      </w:pPr>
      <w:r w:rsidRPr="002341D9">
        <w:rPr>
          <w:rFonts w:ascii="Arial" w:hAnsi="Arial" w:cs="Arial"/>
          <w:b/>
        </w:rPr>
        <w:t>Supplementary Tables</w:t>
      </w:r>
    </w:p>
    <w:p w:rsidR="002341D9" w:rsidRPr="00153BDE" w:rsidRDefault="002341D9" w:rsidP="00BD4006">
      <w:pPr>
        <w:spacing w:after="0"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>Table S1: Thresholds for quality control.</w:t>
      </w:r>
    </w:p>
    <w:p w:rsidR="002341D9" w:rsidRPr="00153BDE" w:rsidRDefault="002341D9" w:rsidP="00BD4006">
      <w:pPr>
        <w:spacing w:after="0"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Table S2: Marker genes for all clusters of the integrated and cell cycle regressed </w:t>
      </w:r>
      <w:proofErr w:type="spellStart"/>
      <w:r w:rsidRPr="00153BDE">
        <w:rPr>
          <w:rFonts w:ascii="Arial" w:hAnsi="Arial" w:cs="Arial"/>
        </w:rPr>
        <w:t>Ctr</w:t>
      </w:r>
      <w:proofErr w:type="spellEnd"/>
      <w:r w:rsidRPr="00153BDE">
        <w:rPr>
          <w:rFonts w:ascii="Arial" w:hAnsi="Arial" w:cs="Arial"/>
        </w:rPr>
        <w:t xml:space="preserve"> data set.</w:t>
      </w:r>
    </w:p>
    <w:p w:rsidR="002341D9" w:rsidRPr="00153BDE" w:rsidRDefault="002341D9" w:rsidP="00BD4006">
      <w:pPr>
        <w:spacing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Table S3: Marker genes for the combined data set comparing cells of </w:t>
      </w:r>
      <w:proofErr w:type="spellStart"/>
      <w:r w:rsidRPr="00153BDE">
        <w:rPr>
          <w:rFonts w:ascii="Arial" w:hAnsi="Arial" w:cs="Arial"/>
        </w:rPr>
        <w:t>Ctr</w:t>
      </w:r>
      <w:proofErr w:type="spellEnd"/>
      <w:r w:rsidRPr="00153BDE">
        <w:rPr>
          <w:rFonts w:ascii="Arial" w:hAnsi="Arial" w:cs="Arial"/>
        </w:rPr>
        <w:t>, 6 h, and 48 h.</w:t>
      </w:r>
    </w:p>
    <w:p w:rsidR="002341D9" w:rsidRPr="002341D9" w:rsidRDefault="002341D9" w:rsidP="00BD4006">
      <w:pPr>
        <w:spacing w:after="0" w:line="360" w:lineRule="auto"/>
        <w:jc w:val="both"/>
        <w:rPr>
          <w:rFonts w:ascii="Arial" w:hAnsi="Arial" w:cs="Arial"/>
          <w:b/>
        </w:rPr>
      </w:pPr>
      <w:r w:rsidRPr="002341D9">
        <w:rPr>
          <w:rFonts w:ascii="Arial" w:hAnsi="Arial" w:cs="Arial"/>
          <w:b/>
        </w:rPr>
        <w:t>Figure S1</w:t>
      </w:r>
    </w:p>
    <w:p w:rsidR="002341D9" w:rsidRPr="00153BDE" w:rsidRDefault="002341D9" w:rsidP="00BD4006">
      <w:pPr>
        <w:spacing w:after="0"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>Figure S1: Aggregation, cell cycle regression, and integration procedure.</w:t>
      </w:r>
    </w:p>
    <w:p w:rsidR="002341D9" w:rsidRPr="00153BDE" w:rsidRDefault="002341D9" w:rsidP="00BD4006">
      <w:pPr>
        <w:spacing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Workflow for the aggregation, cell cycle regression, and integration process shown for </w:t>
      </w:r>
      <w:proofErr w:type="spellStart"/>
      <w:r w:rsidRPr="00153BDE">
        <w:rPr>
          <w:rFonts w:ascii="Arial" w:hAnsi="Arial" w:cs="Arial"/>
        </w:rPr>
        <w:t>Ctr</w:t>
      </w:r>
      <w:proofErr w:type="spellEnd"/>
      <w:r w:rsidRPr="00153BDE">
        <w:rPr>
          <w:rFonts w:ascii="Arial" w:hAnsi="Arial" w:cs="Arial"/>
        </w:rPr>
        <w:t xml:space="preserve"> (the used software tools are named in brackets).</w:t>
      </w:r>
    </w:p>
    <w:p w:rsidR="002341D9" w:rsidRPr="002341D9" w:rsidRDefault="002341D9" w:rsidP="00BD4006">
      <w:pPr>
        <w:spacing w:after="0" w:line="360" w:lineRule="auto"/>
        <w:jc w:val="both"/>
        <w:rPr>
          <w:rFonts w:ascii="Arial" w:hAnsi="Arial" w:cs="Arial"/>
          <w:b/>
        </w:rPr>
      </w:pPr>
      <w:r w:rsidRPr="002341D9">
        <w:rPr>
          <w:rFonts w:ascii="Arial" w:hAnsi="Arial" w:cs="Arial"/>
          <w:b/>
        </w:rPr>
        <w:t>Figure S2</w:t>
      </w:r>
    </w:p>
    <w:p w:rsidR="002341D9" w:rsidRPr="00153BDE" w:rsidRDefault="002341D9" w:rsidP="00BD4006">
      <w:pPr>
        <w:spacing w:after="0"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Figure S2: Expression features of cluster 4 and a glycolysis/hypoxia related subgroup in the </w:t>
      </w:r>
      <w:proofErr w:type="spellStart"/>
      <w:r w:rsidRPr="00153BDE">
        <w:rPr>
          <w:rFonts w:ascii="Arial" w:hAnsi="Arial" w:cs="Arial"/>
        </w:rPr>
        <w:t>Ctr</w:t>
      </w:r>
      <w:proofErr w:type="spellEnd"/>
      <w:r w:rsidRPr="00153BDE">
        <w:rPr>
          <w:rFonts w:ascii="Arial" w:hAnsi="Arial" w:cs="Arial"/>
        </w:rPr>
        <w:t xml:space="preserve"> sample.</w:t>
      </w:r>
    </w:p>
    <w:p w:rsidR="002341D9" w:rsidRPr="00153BDE" w:rsidRDefault="002341D9" w:rsidP="00BD4006">
      <w:pPr>
        <w:spacing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A) Expression plots (log normalized) of marker genes from Cluster 4 of Ctr. B) Expression plots (log normalized) of marker genes of the glycolysis/hypoxia related subgroup of </w:t>
      </w:r>
      <w:proofErr w:type="spellStart"/>
      <w:r w:rsidRPr="00153BDE">
        <w:rPr>
          <w:rFonts w:ascii="Arial" w:hAnsi="Arial" w:cs="Arial"/>
        </w:rPr>
        <w:t>Ctr</w:t>
      </w:r>
      <w:proofErr w:type="spellEnd"/>
      <w:r w:rsidRPr="00153BDE">
        <w:rPr>
          <w:rFonts w:ascii="Arial" w:hAnsi="Arial" w:cs="Arial"/>
        </w:rPr>
        <w:t xml:space="preserve"> cells. C) Uniform Manifold Approximation and Projection (UMAP) representation of cluster 4 (</w:t>
      </w:r>
      <w:proofErr w:type="spellStart"/>
      <w:r w:rsidRPr="00153BDE">
        <w:rPr>
          <w:rFonts w:ascii="Arial" w:hAnsi="Arial" w:cs="Arial"/>
        </w:rPr>
        <w:t>Ctr</w:t>
      </w:r>
      <w:proofErr w:type="spellEnd"/>
      <w:r w:rsidRPr="00153BDE">
        <w:rPr>
          <w:rFonts w:ascii="Arial" w:hAnsi="Arial" w:cs="Arial"/>
        </w:rPr>
        <w:t xml:space="preserve">) and </w:t>
      </w:r>
      <w:proofErr w:type="spellStart"/>
      <w:r w:rsidRPr="00153BDE">
        <w:rPr>
          <w:rFonts w:ascii="Arial" w:hAnsi="Arial" w:cs="Arial"/>
        </w:rPr>
        <w:t>heatmap</w:t>
      </w:r>
      <w:proofErr w:type="spellEnd"/>
      <w:r w:rsidRPr="00153BDE">
        <w:rPr>
          <w:rFonts w:ascii="Arial" w:hAnsi="Arial" w:cs="Arial"/>
        </w:rPr>
        <w:t xml:space="preserve"> showing the top10 marker genes after re-clustering at resolution 0.6.</w:t>
      </w:r>
    </w:p>
    <w:p w:rsidR="002341D9" w:rsidRPr="002341D9" w:rsidRDefault="002341D9" w:rsidP="00BD4006">
      <w:pPr>
        <w:spacing w:after="0" w:line="360" w:lineRule="auto"/>
        <w:jc w:val="both"/>
        <w:rPr>
          <w:rFonts w:ascii="Arial" w:hAnsi="Arial" w:cs="Arial"/>
          <w:b/>
        </w:rPr>
      </w:pPr>
      <w:r w:rsidRPr="002341D9">
        <w:rPr>
          <w:rFonts w:ascii="Arial" w:hAnsi="Arial" w:cs="Arial"/>
          <w:b/>
        </w:rPr>
        <w:t>Figure S3</w:t>
      </w:r>
    </w:p>
    <w:p w:rsidR="002341D9" w:rsidRPr="00153BDE" w:rsidRDefault="002341D9" w:rsidP="00BD4006">
      <w:pPr>
        <w:spacing w:after="0"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Figure S3: Adaptations in metabolism triggered by </w:t>
      </w:r>
      <w:proofErr w:type="spellStart"/>
      <w:r w:rsidRPr="00153BDE">
        <w:rPr>
          <w:rFonts w:ascii="Arial" w:hAnsi="Arial" w:cs="Arial"/>
        </w:rPr>
        <w:t>ibrutinib</w:t>
      </w:r>
      <w:proofErr w:type="spellEnd"/>
      <w:r w:rsidRPr="00153BDE">
        <w:rPr>
          <w:rFonts w:ascii="Arial" w:hAnsi="Arial" w:cs="Arial"/>
        </w:rPr>
        <w:t>.</w:t>
      </w:r>
    </w:p>
    <w:p w:rsidR="002341D9" w:rsidRPr="00153BDE" w:rsidRDefault="002341D9" w:rsidP="00BD4006">
      <w:pPr>
        <w:spacing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>A) Separated analysis of the subpopulations A, B, and D of the combined analysis. The Uniform Manifold Approximation and Projection (UMAP) representations of treatment, clusters after re-clustering (A and B at resolution 0.2, D at resolution 0.3), and the Kyoto Encyclopedia of Genes and Genomes (KEGG) pathway anal</w:t>
      </w:r>
      <w:r w:rsidR="001A53BE">
        <w:rPr>
          <w:rFonts w:ascii="Arial" w:hAnsi="Arial" w:cs="Arial"/>
        </w:rPr>
        <w:t>ysis including genes with a Log</w:t>
      </w:r>
      <w:r w:rsidRPr="00153BDE">
        <w:rPr>
          <w:rFonts w:ascii="Arial" w:hAnsi="Arial" w:cs="Arial"/>
        </w:rPr>
        <w:t xml:space="preserve"> fold change &gt; 0.1 and </w:t>
      </w:r>
      <w:r w:rsidR="007B5C9C">
        <w:rPr>
          <w:rFonts w:ascii="Arial" w:hAnsi="Arial" w:cs="Arial"/>
        </w:rPr>
        <w:t xml:space="preserve">adjusted </w:t>
      </w:r>
      <w:bookmarkStart w:id="0" w:name="_GoBack"/>
      <w:bookmarkEnd w:id="0"/>
      <w:r w:rsidRPr="00153BDE">
        <w:rPr>
          <w:rFonts w:ascii="Arial" w:hAnsi="Arial" w:cs="Arial"/>
          <w:i/>
        </w:rPr>
        <w:t>p</w:t>
      </w:r>
      <w:r w:rsidRPr="00153BDE">
        <w:rPr>
          <w:rFonts w:ascii="Arial" w:hAnsi="Arial" w:cs="Arial"/>
        </w:rPr>
        <w:t xml:space="preserve">-value &lt; 0.001. B) Log normalized expression of hypoxia associated genes across treatment: </w:t>
      </w:r>
      <w:r w:rsidRPr="00153BDE">
        <w:rPr>
          <w:rFonts w:ascii="Arial" w:hAnsi="Arial" w:cs="Arial"/>
          <w:i/>
        </w:rPr>
        <w:t>BNIP3</w:t>
      </w:r>
      <w:r w:rsidRPr="00153BDE">
        <w:rPr>
          <w:rFonts w:ascii="Arial" w:hAnsi="Arial" w:cs="Arial"/>
        </w:rPr>
        <w:t xml:space="preserve"> and </w:t>
      </w:r>
      <w:r w:rsidRPr="00153BDE">
        <w:rPr>
          <w:rFonts w:ascii="Arial" w:hAnsi="Arial" w:cs="Arial"/>
          <w:i/>
        </w:rPr>
        <w:t>DDIT4</w:t>
      </w:r>
      <w:r w:rsidRPr="00153BDE">
        <w:rPr>
          <w:rFonts w:ascii="Arial" w:hAnsi="Arial" w:cs="Arial"/>
        </w:rPr>
        <w:t xml:space="preserve">. C) Violin plots of glycolysis associated genes: </w:t>
      </w:r>
      <w:r w:rsidRPr="00153BDE">
        <w:rPr>
          <w:rFonts w:ascii="Arial" w:hAnsi="Arial" w:cs="Arial"/>
          <w:i/>
        </w:rPr>
        <w:t>IGFBP2</w:t>
      </w:r>
      <w:r w:rsidRPr="00153BDE">
        <w:rPr>
          <w:rFonts w:ascii="Arial" w:hAnsi="Arial" w:cs="Arial"/>
        </w:rPr>
        <w:t xml:space="preserve"> and </w:t>
      </w:r>
      <w:r w:rsidRPr="00153BDE">
        <w:rPr>
          <w:rFonts w:ascii="Arial" w:hAnsi="Arial" w:cs="Arial"/>
          <w:i/>
        </w:rPr>
        <w:t>PGK1</w:t>
      </w:r>
      <w:r w:rsidRPr="00153BDE">
        <w:rPr>
          <w:rFonts w:ascii="Arial" w:hAnsi="Arial" w:cs="Arial"/>
        </w:rPr>
        <w:t>.</w:t>
      </w:r>
    </w:p>
    <w:p w:rsidR="002341D9" w:rsidRPr="002341D9" w:rsidRDefault="002341D9" w:rsidP="00BD4006">
      <w:pPr>
        <w:spacing w:after="0" w:line="360" w:lineRule="auto"/>
        <w:jc w:val="both"/>
        <w:rPr>
          <w:rFonts w:ascii="Arial" w:hAnsi="Arial" w:cs="Arial"/>
          <w:b/>
        </w:rPr>
      </w:pPr>
      <w:r w:rsidRPr="002341D9">
        <w:rPr>
          <w:rFonts w:ascii="Arial" w:hAnsi="Arial" w:cs="Arial"/>
          <w:b/>
        </w:rPr>
        <w:t>Figure S4</w:t>
      </w:r>
    </w:p>
    <w:p w:rsidR="002341D9" w:rsidRPr="00153BDE" w:rsidRDefault="002341D9" w:rsidP="00BD4006">
      <w:pPr>
        <w:spacing w:after="0"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Figure S4: Surface antigen expression across </w:t>
      </w:r>
      <w:proofErr w:type="spellStart"/>
      <w:r w:rsidRPr="00153BDE">
        <w:rPr>
          <w:rFonts w:ascii="Arial" w:hAnsi="Arial" w:cs="Arial"/>
        </w:rPr>
        <w:t>ibrutinib</w:t>
      </w:r>
      <w:proofErr w:type="spellEnd"/>
      <w:r w:rsidRPr="00153BDE">
        <w:rPr>
          <w:rFonts w:ascii="Arial" w:hAnsi="Arial" w:cs="Arial"/>
        </w:rPr>
        <w:t xml:space="preserve"> treatment.</w:t>
      </w:r>
    </w:p>
    <w:p w:rsidR="002341D9" w:rsidRPr="00153BDE" w:rsidRDefault="002341D9" w:rsidP="00BD4006">
      <w:pPr>
        <w:spacing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A) Violin plots of surface antigen expression levels across </w:t>
      </w:r>
      <w:proofErr w:type="spellStart"/>
      <w:r w:rsidRPr="00153BDE">
        <w:rPr>
          <w:rFonts w:ascii="Arial" w:hAnsi="Arial" w:cs="Arial"/>
        </w:rPr>
        <w:t>ibrutinib</w:t>
      </w:r>
      <w:proofErr w:type="spellEnd"/>
      <w:r w:rsidRPr="00153BDE">
        <w:rPr>
          <w:rFonts w:ascii="Arial" w:hAnsi="Arial" w:cs="Arial"/>
        </w:rPr>
        <w:t xml:space="preserve"> treatment of the single-cell sequencing data. B) Flow </w:t>
      </w:r>
      <w:proofErr w:type="spellStart"/>
      <w:r w:rsidRPr="00153BDE">
        <w:rPr>
          <w:rFonts w:ascii="Arial" w:hAnsi="Arial" w:cs="Arial"/>
        </w:rPr>
        <w:t>cytometric</w:t>
      </w:r>
      <w:proofErr w:type="spellEnd"/>
      <w:r w:rsidRPr="00153BDE">
        <w:rPr>
          <w:rFonts w:ascii="Arial" w:hAnsi="Arial" w:cs="Arial"/>
        </w:rPr>
        <w:t xml:space="preserve"> data of the surface antigens </w:t>
      </w:r>
      <w:r w:rsidRPr="00153BDE">
        <w:rPr>
          <w:rFonts w:ascii="Arial" w:hAnsi="Arial" w:cs="Arial"/>
          <w:i/>
        </w:rPr>
        <w:t>CD52</w:t>
      </w:r>
      <w:r w:rsidRPr="00153BDE">
        <w:rPr>
          <w:rFonts w:ascii="Arial" w:hAnsi="Arial" w:cs="Arial"/>
        </w:rPr>
        <w:t xml:space="preserve">, </w:t>
      </w:r>
      <w:r w:rsidRPr="00153BDE">
        <w:rPr>
          <w:rFonts w:ascii="Arial" w:hAnsi="Arial" w:cs="Arial"/>
          <w:i/>
        </w:rPr>
        <w:t>CD37</w:t>
      </w:r>
      <w:r w:rsidRPr="00153BDE">
        <w:rPr>
          <w:rFonts w:ascii="Arial" w:hAnsi="Arial" w:cs="Arial"/>
        </w:rPr>
        <w:t xml:space="preserve">, and </w:t>
      </w:r>
      <w:r w:rsidRPr="00153BDE">
        <w:rPr>
          <w:rFonts w:ascii="Arial" w:hAnsi="Arial" w:cs="Arial"/>
          <w:i/>
        </w:rPr>
        <w:t>CD40</w:t>
      </w:r>
      <w:r w:rsidRPr="00153BDE">
        <w:rPr>
          <w:rFonts w:ascii="Arial" w:hAnsi="Arial" w:cs="Arial"/>
        </w:rPr>
        <w:t>. Mean fluorescence intensity (</w:t>
      </w:r>
      <w:proofErr w:type="spellStart"/>
      <w:r w:rsidRPr="00153BDE">
        <w:rPr>
          <w:rFonts w:ascii="Arial" w:hAnsi="Arial" w:cs="Arial"/>
        </w:rPr>
        <w:t>GeoMean</w:t>
      </w:r>
      <w:proofErr w:type="spellEnd"/>
      <w:r w:rsidRPr="00153BDE">
        <w:rPr>
          <w:rFonts w:ascii="Arial" w:hAnsi="Arial" w:cs="Arial"/>
        </w:rPr>
        <w:t xml:space="preserve">) shown for sensitive REC-1 and resistant MAVER-1 after 3 d </w:t>
      </w:r>
      <w:proofErr w:type="spellStart"/>
      <w:r w:rsidRPr="00153BDE">
        <w:rPr>
          <w:rFonts w:ascii="Arial" w:hAnsi="Arial" w:cs="Arial"/>
        </w:rPr>
        <w:t>ibrutinib</w:t>
      </w:r>
      <w:proofErr w:type="spellEnd"/>
      <w:r w:rsidRPr="00153BDE">
        <w:rPr>
          <w:rFonts w:ascii="Arial" w:hAnsi="Arial" w:cs="Arial"/>
        </w:rPr>
        <w:t xml:space="preserve"> treatment (400 </w:t>
      </w:r>
      <w:proofErr w:type="spellStart"/>
      <w:r w:rsidRPr="00153BDE">
        <w:rPr>
          <w:rFonts w:ascii="Arial" w:hAnsi="Arial" w:cs="Arial"/>
        </w:rPr>
        <w:t>nM</w:t>
      </w:r>
      <w:proofErr w:type="spellEnd"/>
      <w:r w:rsidRPr="00153BDE">
        <w:rPr>
          <w:rFonts w:ascii="Arial" w:hAnsi="Arial" w:cs="Arial"/>
        </w:rPr>
        <w:t xml:space="preserve">) and DMSO control (n = 3, </w:t>
      </w:r>
      <w:r w:rsidRPr="00153BDE">
        <w:rPr>
          <w:rFonts w:ascii="Arial" w:hAnsi="Arial" w:cs="Arial"/>
          <w:bCs/>
          <w:shd w:val="clear" w:color="auto" w:fill="FFFFFF"/>
        </w:rPr>
        <w:t xml:space="preserve">* </w:t>
      </w:r>
      <w:r w:rsidRPr="00153BDE">
        <w:rPr>
          <w:rFonts w:ascii="Arial" w:hAnsi="Arial" w:cs="Arial"/>
          <w:bCs/>
          <w:i/>
          <w:shd w:val="clear" w:color="auto" w:fill="FFFFFF"/>
        </w:rPr>
        <w:t>p</w:t>
      </w:r>
      <w:r w:rsidRPr="00153BDE">
        <w:rPr>
          <w:rFonts w:ascii="Arial" w:hAnsi="Arial" w:cs="Arial"/>
          <w:bCs/>
          <w:shd w:val="clear" w:color="auto" w:fill="FFFFFF"/>
        </w:rPr>
        <w:t xml:space="preserve"> ≤ 0.05, ** </w:t>
      </w:r>
      <w:r w:rsidRPr="00153BDE">
        <w:rPr>
          <w:rFonts w:ascii="Arial" w:hAnsi="Arial" w:cs="Arial"/>
          <w:bCs/>
          <w:i/>
          <w:shd w:val="clear" w:color="auto" w:fill="FFFFFF"/>
        </w:rPr>
        <w:t>p</w:t>
      </w:r>
      <w:r w:rsidRPr="00153BDE">
        <w:rPr>
          <w:rFonts w:ascii="Arial" w:hAnsi="Arial" w:cs="Arial"/>
          <w:bCs/>
          <w:shd w:val="clear" w:color="auto" w:fill="FFFFFF"/>
        </w:rPr>
        <w:t xml:space="preserve"> ≤ 0.005, ns = not significant)</w:t>
      </w:r>
      <w:r w:rsidRPr="00153BDE">
        <w:rPr>
          <w:rFonts w:ascii="Arial" w:hAnsi="Arial" w:cs="Arial"/>
        </w:rPr>
        <w:t xml:space="preserve">. </w:t>
      </w:r>
    </w:p>
    <w:p w:rsidR="002341D9" w:rsidRPr="002341D9" w:rsidRDefault="002341D9" w:rsidP="00BD4006">
      <w:pPr>
        <w:spacing w:after="0" w:line="360" w:lineRule="auto"/>
        <w:jc w:val="both"/>
        <w:rPr>
          <w:rFonts w:ascii="Arial" w:hAnsi="Arial" w:cs="Arial"/>
          <w:b/>
        </w:rPr>
      </w:pPr>
      <w:r w:rsidRPr="002341D9">
        <w:rPr>
          <w:rFonts w:ascii="Arial" w:hAnsi="Arial" w:cs="Arial"/>
          <w:b/>
        </w:rPr>
        <w:t>Figure S5</w:t>
      </w:r>
    </w:p>
    <w:p w:rsidR="002341D9" w:rsidRPr="00153BDE" w:rsidRDefault="002341D9" w:rsidP="00BD4006">
      <w:pPr>
        <w:spacing w:after="0" w:line="360" w:lineRule="auto"/>
        <w:jc w:val="both"/>
        <w:rPr>
          <w:rFonts w:ascii="Arial" w:hAnsi="Arial" w:cs="Arial"/>
        </w:rPr>
      </w:pPr>
      <w:r w:rsidRPr="00153BDE">
        <w:rPr>
          <w:rFonts w:ascii="Arial" w:hAnsi="Arial" w:cs="Arial"/>
        </w:rPr>
        <w:t xml:space="preserve">Figure S5: Entire </w:t>
      </w:r>
      <w:proofErr w:type="spellStart"/>
      <w:r w:rsidRPr="00153BDE">
        <w:rPr>
          <w:rFonts w:ascii="Arial" w:hAnsi="Arial" w:cs="Arial"/>
        </w:rPr>
        <w:t>heatmap</w:t>
      </w:r>
      <w:proofErr w:type="spellEnd"/>
      <w:r w:rsidRPr="00153BDE">
        <w:rPr>
          <w:rFonts w:ascii="Arial" w:hAnsi="Arial" w:cs="Arial"/>
        </w:rPr>
        <w:t xml:space="preserve"> of gene regulatory networks across </w:t>
      </w:r>
      <w:proofErr w:type="spellStart"/>
      <w:r w:rsidRPr="00153BDE">
        <w:rPr>
          <w:rFonts w:ascii="Arial" w:hAnsi="Arial" w:cs="Arial"/>
        </w:rPr>
        <w:t>ibrutinib</w:t>
      </w:r>
      <w:proofErr w:type="spellEnd"/>
      <w:r w:rsidRPr="00153BDE">
        <w:rPr>
          <w:rFonts w:ascii="Arial" w:hAnsi="Arial" w:cs="Arial"/>
        </w:rPr>
        <w:t xml:space="preserve"> treatment.</w:t>
      </w:r>
    </w:p>
    <w:p w:rsidR="002341D9" w:rsidRPr="003372DF" w:rsidRDefault="002341D9" w:rsidP="00BD4006">
      <w:pPr>
        <w:spacing w:line="360" w:lineRule="auto"/>
        <w:jc w:val="both"/>
        <w:rPr>
          <w:rFonts w:ascii="Arial" w:hAnsi="Arial" w:cs="Arial"/>
          <w:b/>
        </w:rPr>
      </w:pPr>
      <w:r w:rsidRPr="00153BDE">
        <w:rPr>
          <w:rFonts w:ascii="Arial" w:hAnsi="Arial" w:cs="Arial"/>
        </w:rPr>
        <w:lastRenderedPageBreak/>
        <w:t>Gene regulatory networks in the eleven clusters of the combined analysis (clustering is shown in Figure 3A). Numbers in brackets indicate the amount of genes forming the gene regulatory networks</w:t>
      </w:r>
      <w:r w:rsidRPr="00153BDE">
        <w:rPr>
          <w:rFonts w:ascii="Arial" w:hAnsi="Arial" w:cs="Arial"/>
          <w:b/>
        </w:rPr>
        <w:t>.</w:t>
      </w:r>
    </w:p>
    <w:p w:rsidR="00EC38EF" w:rsidRDefault="00EC38EF"/>
    <w:sectPr w:rsidR="00EC38EF" w:rsidSect="007D20A1">
      <w:footerReference w:type="default" r:id="rId6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67F" w:rsidRDefault="005A367F">
      <w:pPr>
        <w:spacing w:after="0" w:line="240" w:lineRule="auto"/>
      </w:pPr>
      <w:r>
        <w:separator/>
      </w:r>
    </w:p>
  </w:endnote>
  <w:endnote w:type="continuationSeparator" w:id="0">
    <w:p w:rsidR="005A367F" w:rsidRDefault="005A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BFF" w:rsidRDefault="005A367F">
    <w:pPr>
      <w:pStyle w:val="Fuzeile"/>
      <w:jc w:val="right"/>
    </w:pPr>
  </w:p>
  <w:p w:rsidR="00996BFF" w:rsidRDefault="005A36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67F" w:rsidRDefault="005A367F">
      <w:pPr>
        <w:spacing w:after="0" w:line="240" w:lineRule="auto"/>
      </w:pPr>
      <w:r>
        <w:separator/>
      </w:r>
    </w:p>
  </w:footnote>
  <w:footnote w:type="continuationSeparator" w:id="0">
    <w:p w:rsidR="005A367F" w:rsidRDefault="005A36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D9"/>
    <w:rsid w:val="001A53BE"/>
    <w:rsid w:val="002341D9"/>
    <w:rsid w:val="00346744"/>
    <w:rsid w:val="005A367F"/>
    <w:rsid w:val="00706003"/>
    <w:rsid w:val="007B5C9C"/>
    <w:rsid w:val="007D20A1"/>
    <w:rsid w:val="009F7FEF"/>
    <w:rsid w:val="00BD4006"/>
    <w:rsid w:val="00EC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40DA1"/>
  <w15:chartTrackingRefBased/>
  <w15:docId w15:val="{9F376F6D-2591-4BEF-A8EB-30DFC815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41D9"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341D9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41D9"/>
    <w:rPr>
      <w:rFonts w:ascii="Arial" w:eastAsiaTheme="majorEastAsia" w:hAnsi="Arial" w:cstheme="majorBidi"/>
      <w:b/>
      <w:szCs w:val="32"/>
      <w:u w:val="single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2341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41D9"/>
    <w:rPr>
      <w:lang w:val="en-US"/>
    </w:rPr>
  </w:style>
  <w:style w:type="character" w:styleId="Zeilennummer">
    <w:name w:val="line number"/>
    <w:basedOn w:val="Absatz-Standardschriftart"/>
    <w:uiPriority w:val="99"/>
    <w:semiHidden/>
    <w:unhideWhenUsed/>
    <w:rsid w:val="002341D9"/>
  </w:style>
  <w:style w:type="paragraph" w:styleId="Kopfzeile">
    <w:name w:val="header"/>
    <w:basedOn w:val="Standard"/>
    <w:link w:val="KopfzeileZchn"/>
    <w:uiPriority w:val="99"/>
    <w:unhideWhenUsed/>
    <w:rsid w:val="00BD400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400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Fuhr</dc:creator>
  <cp:keywords/>
  <dc:description/>
  <cp:lastModifiedBy>Fuhr</cp:lastModifiedBy>
  <cp:revision>3</cp:revision>
  <dcterms:created xsi:type="dcterms:W3CDTF">2021-02-12T15:19:00Z</dcterms:created>
  <dcterms:modified xsi:type="dcterms:W3CDTF">2021-02-12T15:23:00Z</dcterms:modified>
</cp:coreProperties>
</file>