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52" w:rsidRPr="007D034E" w:rsidRDefault="00F53A52" w:rsidP="00E762A4">
      <w:pPr>
        <w:spacing w:line="360" w:lineRule="auto"/>
        <w:rPr>
          <w:rFonts w:ascii="Times New Roman" w:hAnsi="Times New Roman"/>
          <w:b/>
          <w:color w:val="000000" w:themeColor="text1"/>
          <w:sz w:val="24"/>
          <w:lang w:eastAsia="ko-KR"/>
        </w:rPr>
      </w:pPr>
      <w:r w:rsidRPr="007D034E">
        <w:rPr>
          <w:rFonts w:ascii="Times New Roman" w:hAnsi="Times New Roman"/>
          <w:b/>
          <w:color w:val="000000" w:themeColor="text1"/>
          <w:sz w:val="24"/>
          <w:lang w:eastAsia="ko-KR"/>
        </w:rPr>
        <w:t xml:space="preserve">&lt; </w:t>
      </w:r>
      <w:r w:rsidR="00EB1100">
        <w:rPr>
          <w:rFonts w:ascii="Times New Roman" w:hAnsi="Times New Roman" w:hint="eastAsia"/>
          <w:b/>
          <w:color w:val="000000" w:themeColor="text1"/>
          <w:sz w:val="24"/>
          <w:lang w:eastAsia="ko-KR"/>
        </w:rPr>
        <w:t xml:space="preserve">Supplementary </w:t>
      </w:r>
      <w:r w:rsidRPr="007D034E">
        <w:rPr>
          <w:rFonts w:ascii="Times New Roman" w:hAnsi="Times New Roman"/>
          <w:b/>
          <w:color w:val="000000" w:themeColor="text1"/>
          <w:sz w:val="24"/>
          <w:lang w:eastAsia="ko-KR"/>
        </w:rPr>
        <w:t>Figure legends&gt;</w:t>
      </w:r>
    </w:p>
    <w:p w:rsidR="00EB1100" w:rsidRDefault="00EB1100" w:rsidP="00E762A4">
      <w:pPr>
        <w:spacing w:line="480" w:lineRule="auto"/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</w:pPr>
    </w:p>
    <w:p w:rsidR="00B85A81" w:rsidRPr="00B85A81" w:rsidRDefault="00B85A81" w:rsidP="00B85A81">
      <w:pPr>
        <w:spacing w:line="480" w:lineRule="auto"/>
        <w:rPr>
          <w:rFonts w:ascii="Times New Roman" w:eastAsiaTheme="minorEastAsia" w:hAnsi="Times New Roman"/>
          <w:color w:val="C00000"/>
          <w:sz w:val="24"/>
          <w:lang w:eastAsia="ko-KR"/>
        </w:rPr>
      </w:pPr>
      <w:r w:rsidRPr="00B85A81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="00255492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="00255492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1</w:t>
      </w:r>
      <w:r w:rsidRPr="00B85A81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 w:rsidRPr="00B85A81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 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>Quantitative analysis of apoptosis</w:t>
      </w:r>
      <w:r w:rsidRPr="00B85A81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>using Annexin V</w:t>
      </w:r>
      <w:r w:rsidR="00DA2FDA">
        <w:rPr>
          <w:rFonts w:ascii="Times New Roman" w:eastAsiaTheme="minorEastAsia" w:hAnsi="Times New Roman"/>
          <w:color w:val="C00000"/>
          <w:sz w:val="24"/>
          <w:lang w:eastAsia="ko-KR"/>
        </w:rPr>
        <w:t>/PI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 staining and flow cytometry</w:t>
      </w:r>
      <w:r w:rsidRPr="00B85A81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following each treatment in HepG2 and Hep3B cells, respectively. 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>Apoptotic cell proportion is expressed as the total percentage of Annexin</w:t>
      </w:r>
      <w:r w:rsidRPr="00B85A81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>V</w:t>
      </w:r>
      <w:r w:rsidR="00DA2FDA">
        <w:rPr>
          <w:rFonts w:ascii="Times New Roman" w:eastAsiaTheme="minorEastAsia" w:hAnsi="Times New Roman"/>
          <w:color w:val="C00000"/>
          <w:sz w:val="24"/>
          <w:lang w:eastAsia="ko-KR"/>
        </w:rPr>
        <w:t>/PI</w:t>
      </w:r>
      <w:r w:rsidRPr="00B85A81">
        <w:rPr>
          <w:rFonts w:ascii="Times New Roman" w:eastAsiaTheme="minorEastAsia" w:hAnsi="Times New Roman"/>
          <w:color w:val="C00000"/>
          <w:sz w:val="24"/>
          <w:lang w:eastAsia="ko-KR"/>
        </w:rPr>
        <w:t>-positive cells</w:t>
      </w:r>
      <w:r w:rsidRPr="00B85A81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. </w:t>
      </w:r>
    </w:p>
    <w:p w:rsidR="00B85A81" w:rsidRDefault="00B85A81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p w:rsidR="00C37E9F" w:rsidRPr="00C37E9F" w:rsidRDefault="00CE456C" w:rsidP="00C37E9F">
      <w:pPr>
        <w:spacing w:line="480" w:lineRule="auto"/>
        <w:rPr>
          <w:rFonts w:ascii="Times New Roman" w:eastAsiaTheme="minorEastAsia" w:hAnsi="Times New Roman"/>
          <w:color w:val="C00000"/>
          <w:sz w:val="24"/>
          <w:lang w:eastAsia="ko-KR"/>
        </w:rPr>
      </w:pPr>
      <w:r w:rsidRPr="00B85A81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="00255492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2</w:t>
      </w:r>
      <w:r w:rsidRPr="00B85A81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 </w:t>
      </w:r>
      <w:r w:rsidR="00C37E9F" w:rsidRP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>We</w:t>
      </w:r>
      <w:r w:rsid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stern blot analysis comparing the expression of LC3B in the absence/presence of autophagy inhibitor bafilomycin A1 in HepG2 and Hep3B cells, respectively. </w:t>
      </w:r>
      <w:r w:rsidR="00C37E9F" w:rsidRPr="00C37E9F">
        <w:rPr>
          <w:rFonts w:ascii="Times New Roman" w:eastAsiaTheme="minorEastAsia" w:hAnsi="Times New Roman"/>
          <w:color w:val="C00000"/>
          <w:sz w:val="24"/>
          <w:lang w:eastAsia="ko-KR"/>
        </w:rPr>
        <w:t>Autophagic flux was thus pharmacologically blocked using</w:t>
      </w:r>
      <w:r w:rsidR="00C37E9F" w:rsidRP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</w:t>
      </w:r>
      <w:r w:rsidR="00C37E9F" w:rsidRPr="00C37E9F">
        <w:rPr>
          <w:rFonts w:ascii="Times New Roman" w:eastAsiaTheme="minorEastAsia" w:hAnsi="Times New Roman"/>
          <w:color w:val="C00000"/>
          <w:sz w:val="24"/>
          <w:lang w:eastAsia="ko-KR"/>
        </w:rPr>
        <w:t>bafilomycin A1, which prevents maturation of autophagic</w:t>
      </w:r>
      <w:r w:rsidR="00C37E9F" w:rsidRP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</w:t>
      </w:r>
      <w:r w:rsidR="00C37E9F" w:rsidRPr="00C37E9F">
        <w:rPr>
          <w:rFonts w:ascii="Times New Roman" w:eastAsiaTheme="minorEastAsia" w:hAnsi="Times New Roman"/>
          <w:color w:val="C00000"/>
          <w:sz w:val="24"/>
          <w:lang w:eastAsia="ko-KR"/>
        </w:rPr>
        <w:t>vacuoles by inhibiting fusion between autophagosomes</w:t>
      </w:r>
      <w:r w:rsidR="00C37E9F" w:rsidRP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</w:t>
      </w:r>
      <w:r w:rsidR="00C37E9F" w:rsidRPr="00C37E9F">
        <w:rPr>
          <w:rFonts w:ascii="Times New Roman" w:eastAsiaTheme="minorEastAsia" w:hAnsi="Times New Roman"/>
          <w:color w:val="C00000"/>
          <w:sz w:val="24"/>
          <w:lang w:eastAsia="ko-KR"/>
        </w:rPr>
        <w:t>and lysosomes</w:t>
      </w:r>
      <w:r w:rsidR="00C37E9F" w:rsidRPr="00C37E9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. In the combination therapy group, significant reduction of the expression of LC3B was observed following the treatment of bafilomycin A1, suggesting reduced autophagy. </w:t>
      </w:r>
    </w:p>
    <w:p w:rsidR="00C37E9F" w:rsidRDefault="00C37E9F" w:rsidP="00E762A4">
      <w:pPr>
        <w:spacing w:line="480" w:lineRule="auto"/>
        <w:rPr>
          <w:rFonts w:ascii="Times New Roman" w:eastAsiaTheme="minorEastAsia" w:hAnsi="Times New Roman"/>
          <w:b/>
          <w:color w:val="C00000"/>
          <w:sz w:val="24"/>
          <w:lang w:eastAsia="ko-KR"/>
        </w:rPr>
      </w:pPr>
    </w:p>
    <w:p w:rsidR="00255492" w:rsidRDefault="00255492" w:rsidP="00255492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255492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Pr="00255492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Pr="00255492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3</w:t>
      </w:r>
      <w:r w:rsidRPr="00255492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 w:rsidRPr="007D034E"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  <w:t xml:space="preserve"> </w:t>
      </w:r>
      <w:r w:rsidRPr="00D150D6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Comparison of expressions of miRNAs in mono- and combination therapies of everolimus and Ku</w:t>
      </w:r>
      <w:r>
        <w:rPr>
          <w:rFonts w:ascii="Times New Roman" w:eastAsiaTheme="minorEastAsia" w:hAnsi="Times New Roman"/>
          <w:color w:val="000000" w:themeColor="text1"/>
          <w:sz w:val="24"/>
          <w:lang w:eastAsia="ko-KR"/>
        </w:rPr>
        <w:t>0063794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in Hep3B cells. </w:t>
      </w:r>
    </w:p>
    <w:p w:rsidR="009A2AC8" w:rsidRPr="009A2AC8" w:rsidRDefault="009A2AC8" w:rsidP="00255492">
      <w:pPr>
        <w:spacing w:line="480" w:lineRule="auto"/>
        <w:rPr>
          <w:rFonts w:ascii="Times New Roman" w:eastAsiaTheme="minorEastAsia" w:hAnsi="Times New Roman"/>
          <w:b/>
          <w:color w:val="C00000"/>
          <w:sz w:val="24"/>
          <w:lang w:eastAsia="ko-KR"/>
        </w:rPr>
      </w:pPr>
      <w:r w:rsidRPr="009A2AC8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(A) </w:t>
      </w:r>
      <w:r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Western blot analysis showing </w:t>
      </w:r>
      <w:r w:rsidRPr="00280903">
        <w:rPr>
          <w:rFonts w:ascii="Times New Roman" w:eastAsiaTheme="minorEastAsia" w:hAnsi="Times New Roman" w:hint="eastAsia"/>
          <w:color w:val="C00000"/>
          <w:sz w:val="24"/>
          <w:lang w:eastAsia="ko-KR"/>
        </w:rPr>
        <w:t>the effect of each treatment on the expression of p-mTOR</w:t>
      </w:r>
      <w:r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in Hep3B cells. </w:t>
      </w:r>
    </w:p>
    <w:p w:rsidR="00255492" w:rsidRPr="007D034E" w:rsidRDefault="009A2AC8" w:rsidP="00255492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9A2AC8">
        <w:rPr>
          <w:rFonts w:ascii="Times New Roman" w:eastAsiaTheme="minorEastAsia" w:hAnsi="Times New Roman"/>
          <w:color w:val="C00000"/>
          <w:sz w:val="24"/>
          <w:lang w:eastAsia="ko-KR"/>
        </w:rPr>
        <w:t>(</w:t>
      </w:r>
      <w:r w:rsidRPr="009A2AC8">
        <w:rPr>
          <w:rFonts w:ascii="Times New Roman" w:eastAsiaTheme="minorEastAsia" w:hAnsi="Times New Roman" w:hint="eastAsia"/>
          <w:color w:val="C00000"/>
          <w:sz w:val="24"/>
          <w:lang w:eastAsia="ko-KR"/>
        </w:rPr>
        <w:t>B</w:t>
      </w:r>
      <w:r w:rsidR="00255492" w:rsidRPr="009A2AC8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) </w:t>
      </w:r>
      <w:r w:rsidR="00255492" w:rsidRPr="00DA2FDA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Cell </w:t>
      </w:r>
      <w:r w:rsidR="00DA2FDA" w:rsidRPr="00DA2FDA">
        <w:rPr>
          <w:rFonts w:ascii="Times New Roman" w:eastAsiaTheme="minorEastAsia" w:hAnsi="Times New Roman"/>
          <w:color w:val="C00000"/>
          <w:sz w:val="24"/>
          <w:lang w:eastAsia="ko-KR"/>
        </w:rPr>
        <w:t>viability</w:t>
      </w:r>
      <w:r w:rsidR="00255492" w:rsidRPr="00DA2FDA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 assay 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of </w:t>
      </w:r>
      <w:r w:rsidR="00255492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Hep3B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cells following mono- and combination therapies of everolimus and Ku0063794.</w:t>
      </w:r>
      <w:r w:rsidR="00255492" w:rsidRPr="007D034E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Compared to the monotherapies of everolimus and Ku0063794, the combination therapy significantly reduced the viability of </w:t>
      </w:r>
      <w:r w:rsidR="00255492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Hep3B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cells. </w:t>
      </w:r>
    </w:p>
    <w:p w:rsidR="00255492" w:rsidRPr="007D034E" w:rsidRDefault="009A2AC8" w:rsidP="00255492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9A2AC8">
        <w:rPr>
          <w:rFonts w:ascii="Times New Roman" w:eastAsiaTheme="minorEastAsia" w:hAnsi="Times New Roman"/>
          <w:color w:val="C00000"/>
          <w:sz w:val="24"/>
          <w:lang w:eastAsia="ko-KR"/>
        </w:rPr>
        <w:t>(</w:t>
      </w:r>
      <w:r w:rsidRPr="009A2AC8">
        <w:rPr>
          <w:rFonts w:ascii="Times New Roman" w:eastAsiaTheme="minorEastAsia" w:hAnsi="Times New Roman" w:hint="eastAsia"/>
          <w:color w:val="C00000"/>
          <w:sz w:val="24"/>
          <w:lang w:eastAsia="ko-KR"/>
        </w:rPr>
        <w:t>C</w:t>
      </w:r>
      <w:r w:rsidR="00255492" w:rsidRPr="009A2AC8">
        <w:rPr>
          <w:rFonts w:ascii="Times New Roman" w:eastAsiaTheme="minorEastAsia" w:hAnsi="Times New Roman"/>
          <w:color w:val="C00000"/>
          <w:sz w:val="24"/>
          <w:lang w:eastAsia="ko-KR"/>
        </w:rPr>
        <w:t>)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Western blot analysis of </w:t>
      </w:r>
      <w:r w:rsidR="00255492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Hep3B</w:t>
      </w:r>
      <w:r w:rsidR="00255492"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cells following mono- or combination therapies. Combination therapy induced a significant increase in the expression of Bax, a decrease in the expression of Mcl-1, and a decrease in the expression of autophagy markers. </w:t>
      </w:r>
    </w:p>
    <w:p w:rsidR="00255492" w:rsidRPr="007D034E" w:rsidRDefault="00255492" w:rsidP="00255492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7D034E">
        <w:rPr>
          <w:rFonts w:ascii="Times New Roman" w:hAnsi="Times New Roman"/>
          <w:color w:val="000000" w:themeColor="text1"/>
          <w:sz w:val="24"/>
        </w:rPr>
        <w:t xml:space="preserve">Values are presented as mean ± standard deviation of three independent experiments. * P &lt; </w:t>
      </w:r>
      <w:r w:rsidRPr="007D034E">
        <w:rPr>
          <w:rFonts w:ascii="Times New Roman" w:hAnsi="Times New Roman"/>
          <w:color w:val="000000" w:themeColor="text1"/>
          <w:sz w:val="24"/>
        </w:rPr>
        <w:lastRenderedPageBreak/>
        <w:t>0.05.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 xml:space="preserve"> </w:t>
      </w:r>
      <w:r w:rsidRPr="007D034E">
        <w:rPr>
          <w:rFonts w:ascii="Times New Roman" w:hAnsi="Times New Roman"/>
          <w:color w:val="000000" w:themeColor="text1"/>
          <w:sz w:val="24"/>
        </w:rPr>
        <w:t xml:space="preserve">Abbreviations: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Bax, </w:t>
      </w:r>
      <w:r w:rsidRPr="007D034E">
        <w:rPr>
          <w:rFonts w:ascii="Times New Roman" w:hAnsi="Times New Roman"/>
          <w:color w:val="000000" w:themeColor="text1"/>
          <w:sz w:val="24"/>
        </w:rPr>
        <w:t>Bcl-2-like protein 4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>;</w:t>
      </w:r>
      <w:r w:rsidRPr="007D034E">
        <w:rPr>
          <w:rFonts w:ascii="Times New Roman" w:hAnsi="Times New Roman" w:hint="eastAsia"/>
          <w:color w:val="000000" w:themeColor="text1"/>
          <w:sz w:val="24"/>
          <w:lang w:eastAsia="ko-KR"/>
        </w:rPr>
        <w:t xml:space="preserve"> </w:t>
      </w:r>
      <w:r w:rsidRPr="007D034E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E, everolimus, K, Ku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0063794</w:t>
      </w:r>
      <w:r w:rsidRPr="007D034E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,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Mcl-1, </w:t>
      </w:r>
      <w:r w:rsidRPr="007D034E">
        <w:rPr>
          <w:rFonts w:ascii="Times New Roman" w:hAnsi="Times New Roman"/>
          <w:color w:val="000000" w:themeColor="text1"/>
          <w:sz w:val="24"/>
        </w:rPr>
        <w:t>myeloid cell leukemia 1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>.</w:t>
      </w:r>
    </w:p>
    <w:p w:rsidR="00255492" w:rsidRPr="00255492" w:rsidRDefault="00255492" w:rsidP="00E762A4">
      <w:pPr>
        <w:spacing w:line="480" w:lineRule="auto"/>
        <w:rPr>
          <w:rFonts w:ascii="Times New Roman" w:eastAsiaTheme="minorEastAsia" w:hAnsi="Times New Roman"/>
          <w:b/>
          <w:color w:val="C00000"/>
          <w:sz w:val="24"/>
          <w:lang w:eastAsia="ko-KR"/>
        </w:rPr>
      </w:pPr>
    </w:p>
    <w:p w:rsidR="00B85A81" w:rsidRPr="00D7332F" w:rsidRDefault="00B85A81" w:rsidP="00E762A4">
      <w:pPr>
        <w:spacing w:line="480" w:lineRule="auto"/>
        <w:rPr>
          <w:rFonts w:ascii="Times New Roman" w:eastAsiaTheme="minorEastAsia" w:hAnsi="Times New Roman"/>
          <w:color w:val="C00000"/>
          <w:sz w:val="24"/>
          <w:lang w:eastAsia="ko-KR"/>
        </w:rPr>
      </w:pPr>
      <w:r w:rsidRPr="00B85A81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="00CE456C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4</w:t>
      </w:r>
      <w:r w:rsidRPr="00B85A81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 w:rsidR="00D7332F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 </w:t>
      </w:r>
      <w:r w:rsidR="00D7332F">
        <w:rPr>
          <w:rFonts w:ascii="Times New Roman" w:eastAsiaTheme="minorEastAsia" w:hAnsi="Times New Roman" w:hint="eastAsia"/>
          <w:color w:val="C00000"/>
          <w:sz w:val="24"/>
          <w:lang w:eastAsia="ko-KR"/>
        </w:rPr>
        <w:t>T</w:t>
      </w:r>
      <w:r w:rsidR="00D7332F" w:rsidRPr="00D7332F">
        <w:rPr>
          <w:rFonts w:ascii="Times New Roman" w:eastAsiaTheme="minorEastAsia" w:hAnsi="Times New Roman"/>
          <w:color w:val="C00000"/>
          <w:sz w:val="24"/>
          <w:lang w:eastAsia="ko-KR"/>
        </w:rPr>
        <w:t>he expression</w:t>
      </w:r>
      <w:r w:rsidR="00D7332F" w:rsidRPr="00D7332F"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 profiles</w:t>
      </w:r>
      <w:r w:rsidR="00D7332F" w:rsidRPr="00D7332F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 of miRNAs in HepG2 cells following treatments with everolimus or Ku0063794 alone or in combination</w:t>
      </w:r>
      <w:r w:rsidR="00D7332F" w:rsidRPr="00D7332F">
        <w:rPr>
          <w:rFonts w:ascii="Times New Roman" w:eastAsiaTheme="minorEastAsia" w:hAnsi="Times New Roman" w:hint="eastAsia"/>
          <w:color w:val="C00000"/>
          <w:sz w:val="24"/>
          <w:lang w:eastAsia="ko-KR"/>
        </w:rPr>
        <w:t>.</w:t>
      </w:r>
      <w:r w:rsidR="00D7332F" w:rsidRPr="00D7332F">
        <w:rPr>
          <w:rFonts w:ascii="Times New Roman" w:eastAsiaTheme="minorEastAsia" w:hAnsi="Times New Roman"/>
          <w:color w:val="C00000"/>
          <w:sz w:val="24"/>
          <w:lang w:eastAsia="ko-KR"/>
        </w:rPr>
        <w:t xml:space="preserve"> </w:t>
      </w:r>
    </w:p>
    <w:p w:rsidR="00D7332F" w:rsidRPr="007D034E" w:rsidRDefault="00D7332F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p w:rsidR="00F53A52" w:rsidRPr="007D034E" w:rsidRDefault="00EB1100" w:rsidP="00E762A4">
      <w:pPr>
        <w:spacing w:line="480" w:lineRule="auto"/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</w:pPr>
      <w:r w:rsidRPr="00D7332F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="00D7332F"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="00CE456C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5</w:t>
      </w:r>
      <w:r w:rsidR="00F53A52"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. </w:t>
      </w:r>
      <w:r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Changes 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of</w:t>
      </w:r>
      <w:r w:rsidR="00F53A52" w:rsidRPr="00D150D6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miR-4790-3p and miR-24-2-5p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in the Hep3B cells</w:t>
      </w:r>
      <w:r w:rsidR="00F53A52" w:rsidRPr="00D150D6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after everolimus and Ku0063794 mono- and combination therapies.</w:t>
      </w:r>
    </w:p>
    <w:p w:rsidR="00F53A52" w:rsidRPr="007D034E" w:rsidRDefault="00F53A52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(A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-B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) Real-time PCR showing the expression of miR-4790-3p and miR-24-2-5p in </w:t>
      </w:r>
      <w:r w:rsidR="00EB1100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Hep3B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cells after individual treatments. Compared to the control group, the expression of miR-4790-3p and miR-24-2-5p was increased after everolimus monotherapy, slightly decreased after Ku0063794 monotherapy, and significantly decreased after the combination therapy. </w:t>
      </w:r>
    </w:p>
    <w:p w:rsidR="00F53A52" w:rsidRDefault="00F53A52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>
        <w:rPr>
          <w:rFonts w:ascii="Times New Roman" w:eastAsiaTheme="minorEastAsia" w:hAnsi="Times New Roman"/>
          <w:color w:val="000000" w:themeColor="text1"/>
          <w:sz w:val="24"/>
          <w:lang w:eastAsia="ko-KR"/>
        </w:rPr>
        <w:t>(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C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) Real-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time PCR showing the expression of ZNF225 and LC3B after the combination therapy.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ZNF225 is known to be the target mR</w:t>
      </w:r>
      <w:bookmarkStart w:id="0" w:name="_GoBack"/>
      <w:bookmarkEnd w:id="0"/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NA of miR-4790-3p.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The mRNA expression of ZNF225 and LC3B was significantly up- and downregulated following combination therapy, respectively.</w:t>
      </w:r>
    </w:p>
    <w:p w:rsidR="009A2AC8" w:rsidRDefault="009A2AC8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p w:rsidR="00F84920" w:rsidRPr="00B85A81" w:rsidRDefault="00F84920" w:rsidP="00F84920">
      <w:pPr>
        <w:spacing w:line="480" w:lineRule="auto"/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</w:pPr>
      <w:r w:rsidRPr="00D7332F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6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.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Overexpression test for the determination of the role of miR-4790-3p and miR-24-2-5p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in Hep3B cells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.</w:t>
      </w:r>
    </w:p>
    <w:p w:rsidR="00F84920" w:rsidRPr="00B85A81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(A)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[Left]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Real-time PCR analysis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demonstrating higher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miR-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4790-3p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expression in miR-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4790-3p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-transfected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Hep3B cells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24 h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after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transfection.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[Right]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Western blot analysis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in Hep3B cells with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overexpression following individual treatments. Overexpression of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led to downregulation of Bax, upregulation of Mcl-2, and pro-apoptotic alterations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(higher expression of ATG5 and ATG7 and lower expression of p62)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.</w:t>
      </w:r>
    </w:p>
    <w:p w:rsidR="00F84920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(B)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[Left]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Real-time PCR analysis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demonstrating higher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miR-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24-2-5p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expression in miR-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24-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lastRenderedPageBreak/>
        <w:t>2-5p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-transfected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Hep3B cells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24 h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after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transfection.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[Right]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Western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blot analysis 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in Hep3B cells with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miR-24-2-5p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overexpression following individual treatments.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Western blot analysis following overexpressing miR-24-2-5p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in Hep3B cells following individual treatments.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</w:t>
      </w:r>
    </w:p>
    <w:p w:rsidR="00F84920" w:rsidRPr="00B85A81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Overexpression of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miR-24-2-5p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did not lead to consistent alterations in the </w:t>
      </w:r>
      <w:r>
        <w:rPr>
          <w:rFonts w:ascii="Times New Roman" w:eastAsiaTheme="minorEastAsia" w:hAnsi="Times New Roman"/>
          <w:color w:val="000000" w:themeColor="text1"/>
          <w:sz w:val="24"/>
          <w:lang w:eastAsia="ko-KR"/>
        </w:rPr>
        <w:t>expression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of pro-apoptotic, anti-apoptotic, </w:t>
      </w:r>
      <w:r w:rsidRPr="00B85A81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and autophagic proteins. </w:t>
      </w:r>
    </w:p>
    <w:p w:rsidR="00F84920" w:rsidRPr="00B85A81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B85A81">
        <w:rPr>
          <w:rFonts w:ascii="Times New Roman" w:hAnsi="Times New Roman"/>
          <w:color w:val="000000" w:themeColor="text1"/>
          <w:sz w:val="24"/>
        </w:rPr>
        <w:t>Values are presented as mean ± standard deviation of three independent experiments. * P &lt; 0.05.</w:t>
      </w:r>
      <w:r w:rsidRPr="00B85A81">
        <w:rPr>
          <w:rFonts w:ascii="Times New Roman" w:hAnsi="Times New Roman"/>
          <w:color w:val="000000" w:themeColor="text1"/>
          <w:sz w:val="24"/>
          <w:lang w:eastAsia="ko-KR"/>
        </w:rPr>
        <w:t xml:space="preserve"> </w:t>
      </w:r>
      <w:r w:rsidRPr="00B85A81">
        <w:rPr>
          <w:rFonts w:ascii="Times New Roman" w:hAnsi="Times New Roman"/>
          <w:color w:val="000000" w:themeColor="text1"/>
          <w:sz w:val="24"/>
        </w:rPr>
        <w:t xml:space="preserve">Abbreviations: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Bax, </w:t>
      </w:r>
      <w:r w:rsidRPr="00B85A81">
        <w:rPr>
          <w:rFonts w:ascii="Times New Roman" w:hAnsi="Times New Roman"/>
          <w:color w:val="000000" w:themeColor="text1"/>
          <w:sz w:val="24"/>
        </w:rPr>
        <w:t>Bcl-2-like protein 4</w:t>
      </w:r>
      <w:r w:rsidRPr="00B85A81">
        <w:rPr>
          <w:rFonts w:ascii="Times New Roman" w:hAnsi="Times New Roman"/>
          <w:color w:val="000000" w:themeColor="text1"/>
          <w:sz w:val="24"/>
          <w:lang w:eastAsia="ko-KR"/>
        </w:rPr>
        <w:t xml:space="preserve">; E, everolimus; K, </w:t>
      </w:r>
      <w:r w:rsidRPr="00B85A81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Ku0063794; Mcl-1, </w:t>
      </w:r>
      <w:r w:rsidRPr="00B85A81">
        <w:rPr>
          <w:rFonts w:ascii="Times New Roman" w:hAnsi="Times New Roman"/>
          <w:color w:val="000000" w:themeColor="text1"/>
          <w:sz w:val="24"/>
        </w:rPr>
        <w:t>myeloid cell leukemia 1</w:t>
      </w:r>
      <w:r w:rsidRPr="00B85A81">
        <w:rPr>
          <w:rFonts w:ascii="Times New Roman" w:hAnsi="Times New Roman" w:hint="eastAsia"/>
          <w:color w:val="000000" w:themeColor="text1"/>
          <w:sz w:val="24"/>
          <w:lang w:eastAsia="ko-KR"/>
        </w:rPr>
        <w:t>; miR-NC, miRNA mimic negative control.</w:t>
      </w:r>
    </w:p>
    <w:p w:rsidR="00F84920" w:rsidRDefault="00F84920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p w:rsidR="00F84920" w:rsidRPr="007D034E" w:rsidRDefault="00F84920" w:rsidP="00F84920">
      <w:pPr>
        <w:spacing w:line="480" w:lineRule="auto"/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</w:pPr>
      <w:r w:rsidRPr="00D7332F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7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 w:rsidRPr="007D034E"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  <w:t xml:space="preserve"> 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I</w:t>
      </w:r>
      <w:r w:rsidRPr="00D150D6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nhibition test for the determination of the role of miR-4790-3p.</w:t>
      </w:r>
      <w:r w:rsidRPr="007D034E">
        <w:rPr>
          <w:rFonts w:ascii="Times New Roman" w:eastAsiaTheme="minorEastAsia" w:hAnsi="Times New Roman"/>
          <w:b/>
          <w:color w:val="000000" w:themeColor="text1"/>
          <w:sz w:val="24"/>
          <w:lang w:eastAsia="ko-KR"/>
        </w:rPr>
        <w:t xml:space="preserve"> </w:t>
      </w:r>
    </w:p>
    <w:p w:rsidR="00F84920" w:rsidRPr="00C62E84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(A) Western blot analysis 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in Hep3B cells with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inhibition following individual t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reatments. Inhibition of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led to upregulation of Bax, downregulation of Mcl-2, and anti-apoptotic alterations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(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lower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expression of ATG5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, ATG7,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and 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LC3B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and 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higher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expression of p62)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.</w:t>
      </w:r>
    </w:p>
    <w:p w:rsidR="00F84920" w:rsidRPr="00C62E84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(B) 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Determination of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the degree of autophagy using 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i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mmunofluorescences with MDC staining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. T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he degree of autophagy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was determined in Hep3B cells with up- or down-regulation of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and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miR-24-2-5p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, respectively, following individual treatments. While overexpressing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led to promoted autophagy, inhibiting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 led to reduced autophagy. Overexpressing or inhibiting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miR-24-2-5p 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 xml:space="preserve">led to the similar results as 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miR-4790-3p</w:t>
      </w:r>
      <w:r w:rsidRPr="00C62E84">
        <w:rPr>
          <w:rFonts w:ascii="Times New Roman" w:eastAsiaTheme="minorEastAsia" w:hAnsi="Times New Roman" w:hint="eastAsia"/>
          <w:color w:val="000000" w:themeColor="text1"/>
          <w:sz w:val="24"/>
          <w:lang w:eastAsia="ko-KR"/>
        </w:rPr>
        <w:t>;</w:t>
      </w:r>
      <w:r w:rsidRPr="00C62E84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 however, it was not as prominent as the miR-4790-3p cases.</w:t>
      </w:r>
    </w:p>
    <w:p w:rsidR="00F84920" w:rsidRPr="007D034E" w:rsidRDefault="00F84920" w:rsidP="00F84920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7D034E">
        <w:rPr>
          <w:rFonts w:ascii="Times New Roman" w:hAnsi="Times New Roman"/>
          <w:color w:val="000000" w:themeColor="text1"/>
          <w:sz w:val="24"/>
        </w:rPr>
        <w:t>Values are presented as mean ± standard deviation of three independent experiments. * P &lt; 0.05.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 xml:space="preserve"> </w:t>
      </w:r>
      <w:r w:rsidRPr="007D034E">
        <w:rPr>
          <w:rFonts w:ascii="Times New Roman" w:hAnsi="Times New Roman"/>
          <w:color w:val="000000" w:themeColor="text1"/>
          <w:sz w:val="24"/>
        </w:rPr>
        <w:t xml:space="preserve">Abbreviations: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Bax, </w:t>
      </w:r>
      <w:r w:rsidRPr="007D034E">
        <w:rPr>
          <w:rFonts w:ascii="Times New Roman" w:hAnsi="Times New Roman"/>
          <w:color w:val="000000" w:themeColor="text1"/>
          <w:sz w:val="24"/>
        </w:rPr>
        <w:t>Bcl-2-like protein 4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 xml:space="preserve">; E, everolimus; K,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 xml:space="preserve">Ku0063794; Mcl-1, </w:t>
      </w:r>
      <w:r w:rsidRPr="007D034E">
        <w:rPr>
          <w:rFonts w:ascii="Times New Roman" w:hAnsi="Times New Roman"/>
          <w:color w:val="000000" w:themeColor="text1"/>
          <w:sz w:val="24"/>
        </w:rPr>
        <w:t>myeloid cell leukemia 1</w:t>
      </w:r>
      <w:r w:rsidRPr="007D034E">
        <w:rPr>
          <w:rFonts w:ascii="Times New Roman" w:hAnsi="Times New Roman"/>
          <w:color w:val="000000" w:themeColor="text1"/>
          <w:sz w:val="24"/>
          <w:lang w:eastAsia="ko-KR"/>
        </w:rPr>
        <w:t xml:space="preserve">, and MDC, </w:t>
      </w:r>
      <w:r w:rsidRPr="007D034E">
        <w:rPr>
          <w:rFonts w:ascii="Times New Roman" w:eastAsiaTheme="minorEastAsia" w:hAnsi="Times New Roman"/>
          <w:color w:val="000000" w:themeColor="text1"/>
          <w:sz w:val="24"/>
          <w:lang w:eastAsia="ko-KR"/>
        </w:rPr>
        <w:t>monodansylcadaverine.</w:t>
      </w:r>
    </w:p>
    <w:p w:rsidR="00F84920" w:rsidRPr="00F84920" w:rsidRDefault="00F84920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p w:rsidR="009A2AC8" w:rsidRDefault="009A2AC8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 w:rsidRPr="00D7332F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Supplementary 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 xml:space="preserve">Figure </w:t>
      </w:r>
      <w:r w:rsidR="00F84920"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>8</w:t>
      </w:r>
      <w:r w:rsidRPr="00D7332F">
        <w:rPr>
          <w:rFonts w:ascii="Times New Roman" w:eastAsiaTheme="minorEastAsia" w:hAnsi="Times New Roman"/>
          <w:b/>
          <w:color w:val="C00000"/>
          <w:sz w:val="24"/>
          <w:lang w:eastAsia="ko-KR"/>
        </w:rPr>
        <w:t>.</w:t>
      </w:r>
      <w:r>
        <w:rPr>
          <w:rFonts w:ascii="Times New Roman" w:eastAsiaTheme="minorEastAsia" w:hAnsi="Times New Roman" w:hint="eastAsia"/>
          <w:b/>
          <w:color w:val="C00000"/>
          <w:sz w:val="24"/>
          <w:lang w:eastAsia="ko-KR"/>
        </w:rPr>
        <w:t xml:space="preserve"> </w:t>
      </w:r>
      <w:r w:rsidRPr="009A2AC8">
        <w:rPr>
          <w:rFonts w:ascii="Times New Roman" w:eastAsiaTheme="minorEastAsia" w:hAnsi="Times New Roman" w:hint="eastAsia"/>
          <w:color w:val="C00000"/>
          <w:sz w:val="24"/>
          <w:lang w:eastAsia="ko-KR"/>
        </w:rPr>
        <w:t>Over</w:t>
      </w:r>
      <w:r>
        <w:rPr>
          <w:rFonts w:ascii="Times New Roman" w:eastAsiaTheme="minorEastAsia" w:hAnsi="Times New Roman" w:hint="eastAsia"/>
          <w:color w:val="C00000"/>
          <w:sz w:val="24"/>
          <w:lang w:eastAsia="ko-KR"/>
        </w:rPr>
        <w:t xml:space="preserve">expression/suppression tests of ZNF225 for the determination </w:t>
      </w:r>
      <w:r>
        <w:rPr>
          <w:rFonts w:ascii="Times New Roman" w:eastAsiaTheme="minorEastAsia" w:hAnsi="Times New Roman" w:hint="eastAsia"/>
          <w:color w:val="C00000"/>
          <w:sz w:val="24"/>
          <w:lang w:eastAsia="ko-KR"/>
        </w:rPr>
        <w:lastRenderedPageBreak/>
        <w:t xml:space="preserve">of its role in Hep3B cells. </w:t>
      </w:r>
    </w:p>
    <w:p w:rsidR="009A2AC8" w:rsidRDefault="009A2AC8" w:rsidP="009A2AC8">
      <w:pPr>
        <w:spacing w:line="480" w:lineRule="auto"/>
        <w:rPr>
          <w:rFonts w:ascii="Times New Roman" w:hAnsi="Times New Roman"/>
          <w:bCs/>
          <w:color w:val="C00000"/>
          <w:kern w:val="0"/>
          <w:sz w:val="24"/>
          <w:lang w:eastAsia="ko-KR"/>
        </w:rPr>
      </w:pP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(A) </w:t>
      </w:r>
      <w:r>
        <w:rPr>
          <w:rFonts w:ascii="Times New Roman" w:hAnsi="Times New Roman" w:hint="eastAsia"/>
          <w:bCs/>
          <w:color w:val="C00000"/>
          <w:kern w:val="0"/>
          <w:sz w:val="24"/>
        </w:rPr>
        <w:t>Western blot analysis show</w:t>
      </w: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ing the effects of </w:t>
      </w:r>
      <w:r>
        <w:rPr>
          <w:rFonts w:ascii="Times New Roman" w:hAnsi="Times New Roman"/>
          <w:bCs/>
          <w:color w:val="C00000"/>
          <w:kern w:val="0"/>
          <w:sz w:val="24"/>
          <w:lang w:eastAsia="ko-KR"/>
        </w:rPr>
        <w:t>overexpressing</w:t>
      </w: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 ZNF225 on the </w:t>
      </w:r>
      <w:r>
        <w:rPr>
          <w:rFonts w:ascii="Times New Roman" w:hAnsi="Times New Roman"/>
          <w:bCs/>
          <w:color w:val="C00000"/>
          <w:kern w:val="0"/>
          <w:sz w:val="24"/>
          <w:lang w:eastAsia="ko-KR"/>
        </w:rPr>
        <w:t>expression</w:t>
      </w: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 of markers related with apoptosis and autophagy, respectively, in Hep3B cells.</w:t>
      </w:r>
    </w:p>
    <w:p w:rsidR="009A2AC8" w:rsidRDefault="009A2AC8" w:rsidP="009A2AC8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(B) </w:t>
      </w:r>
      <w:r>
        <w:rPr>
          <w:rFonts w:ascii="Times New Roman" w:hAnsi="Times New Roman" w:hint="eastAsia"/>
          <w:bCs/>
          <w:color w:val="C00000"/>
          <w:kern w:val="0"/>
          <w:sz w:val="24"/>
        </w:rPr>
        <w:t>Western blot analysis show</w:t>
      </w: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ing the effects of suppressing ZNF225 on the </w:t>
      </w:r>
      <w:r>
        <w:rPr>
          <w:rFonts w:ascii="Times New Roman" w:hAnsi="Times New Roman"/>
          <w:bCs/>
          <w:color w:val="C00000"/>
          <w:kern w:val="0"/>
          <w:sz w:val="24"/>
          <w:lang w:eastAsia="ko-KR"/>
        </w:rPr>
        <w:t>expression</w:t>
      </w:r>
      <w:r>
        <w:rPr>
          <w:rFonts w:ascii="Times New Roman" w:hAnsi="Times New Roman" w:hint="eastAsia"/>
          <w:bCs/>
          <w:color w:val="C00000"/>
          <w:kern w:val="0"/>
          <w:sz w:val="24"/>
          <w:lang w:eastAsia="ko-KR"/>
        </w:rPr>
        <w:t xml:space="preserve"> of markers related with apoptosis and autophagy, respectively, in Hep3B cells</w:t>
      </w:r>
    </w:p>
    <w:p w:rsidR="009A2AC8" w:rsidRPr="00B85A81" w:rsidRDefault="009A2AC8" w:rsidP="00E762A4">
      <w:pPr>
        <w:spacing w:line="480" w:lineRule="auto"/>
        <w:rPr>
          <w:rFonts w:ascii="Times New Roman" w:eastAsiaTheme="minorEastAsia" w:hAnsi="Times New Roman"/>
          <w:color w:val="000000" w:themeColor="text1"/>
          <w:sz w:val="24"/>
          <w:lang w:eastAsia="ko-KR"/>
        </w:rPr>
      </w:pPr>
    </w:p>
    <w:sectPr w:rsidR="009A2AC8" w:rsidRPr="00B85A81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C4" w:rsidRDefault="000849C4">
      <w:r>
        <w:separator/>
      </w:r>
    </w:p>
  </w:endnote>
  <w:endnote w:type="continuationSeparator" w:id="0">
    <w:p w:rsidR="000849C4" w:rsidRDefault="0008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C4" w:rsidRDefault="000849C4">
      <w:r>
        <w:separator/>
      </w:r>
    </w:p>
  </w:footnote>
  <w:footnote w:type="continuationSeparator" w:id="0">
    <w:p w:rsidR="000849C4" w:rsidRDefault="0008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223724"/>
      <w:docPartObj>
        <w:docPartGallery w:val="Page Numbers (Top of Page)"/>
        <w:docPartUnique/>
      </w:docPartObj>
    </w:sdtPr>
    <w:sdtEndPr/>
    <w:sdtContent>
      <w:p w:rsidR="0051034F" w:rsidRDefault="00C83367" w:rsidP="0051034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B95" w:rsidRPr="00773B95">
          <w:rPr>
            <w:noProof/>
            <w:lang w:val="ko-KR" w:eastAsia="ko-KR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52"/>
    <w:rsid w:val="000849C4"/>
    <w:rsid w:val="00112399"/>
    <w:rsid w:val="001664BA"/>
    <w:rsid w:val="001C3FA2"/>
    <w:rsid w:val="00255492"/>
    <w:rsid w:val="00307F4B"/>
    <w:rsid w:val="00403394"/>
    <w:rsid w:val="005E5CC3"/>
    <w:rsid w:val="0072407E"/>
    <w:rsid w:val="00773B95"/>
    <w:rsid w:val="00961A79"/>
    <w:rsid w:val="009A2AC8"/>
    <w:rsid w:val="00AB51ED"/>
    <w:rsid w:val="00B85A81"/>
    <w:rsid w:val="00C37E9F"/>
    <w:rsid w:val="00C5007B"/>
    <w:rsid w:val="00C62E84"/>
    <w:rsid w:val="00C83367"/>
    <w:rsid w:val="00CE456C"/>
    <w:rsid w:val="00D14EDE"/>
    <w:rsid w:val="00D7332F"/>
    <w:rsid w:val="00DA2FDA"/>
    <w:rsid w:val="00E14848"/>
    <w:rsid w:val="00E762A4"/>
    <w:rsid w:val="00EB1100"/>
    <w:rsid w:val="00EC156F"/>
    <w:rsid w:val="00ED6A39"/>
    <w:rsid w:val="00EE7A73"/>
    <w:rsid w:val="00F01853"/>
    <w:rsid w:val="00F53A52"/>
    <w:rsid w:val="00F8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53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52"/>
    <w:pPr>
      <w:widowControl w:val="0"/>
      <w:suppressAutoHyphens/>
      <w:autoSpaceDE w:val="0"/>
      <w:spacing w:after="0" w:line="240" w:lineRule="auto"/>
    </w:pPr>
    <w:rPr>
      <w:rFonts w:ascii="바탕" w:eastAsia="바탕" w:hAnsi="바탕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53A52"/>
    <w:rPr>
      <w:rFonts w:ascii="바탕" w:eastAsia="바탕" w:hAnsi="바탕" w:cs="Times New Roman"/>
      <w:kern w:val="1"/>
      <w:szCs w:val="24"/>
      <w:lang w:eastAsia="ar-SA"/>
    </w:rPr>
  </w:style>
  <w:style w:type="character" w:styleId="a4">
    <w:name w:val="Hyperlink"/>
    <w:basedOn w:val="a0"/>
    <w:uiPriority w:val="99"/>
    <w:unhideWhenUsed/>
    <w:rsid w:val="00F53A52"/>
    <w:rPr>
      <w:color w:val="0000FF" w:themeColor="hyperlink"/>
      <w:u w:val="single"/>
    </w:rPr>
  </w:style>
  <w:style w:type="paragraph" w:styleId="a5">
    <w:name w:val="footer"/>
    <w:basedOn w:val="a"/>
    <w:link w:val="Char0"/>
    <w:uiPriority w:val="99"/>
    <w:unhideWhenUsed/>
    <w:rsid w:val="004033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03394"/>
    <w:rPr>
      <w:rFonts w:ascii="바탕" w:eastAsia="바탕" w:hAnsi="바탕" w:cs="Times New Roman"/>
      <w:kern w:val="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52"/>
    <w:pPr>
      <w:widowControl w:val="0"/>
      <w:suppressAutoHyphens/>
      <w:autoSpaceDE w:val="0"/>
      <w:spacing w:after="0" w:line="240" w:lineRule="auto"/>
    </w:pPr>
    <w:rPr>
      <w:rFonts w:ascii="바탕" w:eastAsia="바탕" w:hAnsi="바탕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53A52"/>
    <w:rPr>
      <w:rFonts w:ascii="바탕" w:eastAsia="바탕" w:hAnsi="바탕" w:cs="Times New Roman"/>
      <w:kern w:val="1"/>
      <w:szCs w:val="24"/>
      <w:lang w:eastAsia="ar-SA"/>
    </w:rPr>
  </w:style>
  <w:style w:type="character" w:styleId="a4">
    <w:name w:val="Hyperlink"/>
    <w:basedOn w:val="a0"/>
    <w:uiPriority w:val="99"/>
    <w:unhideWhenUsed/>
    <w:rsid w:val="00F53A52"/>
    <w:rPr>
      <w:color w:val="0000FF" w:themeColor="hyperlink"/>
      <w:u w:val="single"/>
    </w:rPr>
  </w:style>
  <w:style w:type="paragraph" w:styleId="a5">
    <w:name w:val="footer"/>
    <w:basedOn w:val="a"/>
    <w:link w:val="Char0"/>
    <w:uiPriority w:val="99"/>
    <w:unhideWhenUsed/>
    <w:rsid w:val="004033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03394"/>
    <w:rPr>
      <w:rFonts w:ascii="바탕" w:eastAsia="바탕" w:hAnsi="바탕" w:cs="Times New Roman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6DDC7-80C2-4EB4-8142-F4123C89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KSJ</dc:creator>
  <cp:lastModifiedBy>cmc</cp:lastModifiedBy>
  <cp:revision>2</cp:revision>
  <dcterms:created xsi:type="dcterms:W3CDTF">2021-02-26T09:45:00Z</dcterms:created>
  <dcterms:modified xsi:type="dcterms:W3CDTF">2021-02-26T09:45:00Z</dcterms:modified>
</cp:coreProperties>
</file>