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E6F" w14:textId="77777777" w:rsidR="00D14169" w:rsidRPr="0015758E" w:rsidRDefault="00D14169" w:rsidP="00D14169">
      <w:pPr>
        <w:rPr>
          <w:b/>
          <w:bCs/>
          <w:sz w:val="24"/>
          <w:szCs w:val="24"/>
        </w:rPr>
      </w:pPr>
      <w:r w:rsidRPr="0015758E">
        <w:rPr>
          <w:b/>
          <w:bCs/>
          <w:sz w:val="24"/>
          <w:szCs w:val="24"/>
        </w:rPr>
        <w:t>Supplementary Figures:</w:t>
      </w:r>
    </w:p>
    <w:p w14:paraId="575A690E" w14:textId="6684E207" w:rsidR="00D14169" w:rsidRPr="0015758E" w:rsidRDefault="00D14169" w:rsidP="00D14169">
      <w:pPr>
        <w:rPr>
          <w:sz w:val="24"/>
          <w:szCs w:val="24"/>
        </w:rPr>
      </w:pPr>
      <w:r w:rsidRPr="0015758E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S</w:t>
      </w:r>
      <w:r w:rsidRPr="0015758E">
        <w:rPr>
          <w:b/>
          <w:bCs/>
          <w:sz w:val="24"/>
          <w:szCs w:val="24"/>
        </w:rPr>
        <w:t>1:</w:t>
      </w:r>
      <w:r w:rsidRPr="0015758E">
        <w:rPr>
          <w:sz w:val="24"/>
          <w:szCs w:val="24"/>
        </w:rPr>
        <w:t xml:space="preserve"> Pipeline A. we used this workflow to identify MS risk miRNAs, obtain EBV miRNAs, and predict cellular and EBV miRNAs targets. </w:t>
      </w:r>
    </w:p>
    <w:p w14:paraId="427D2B08" w14:textId="3727F984" w:rsidR="00D14169" w:rsidRPr="0015758E" w:rsidRDefault="00D14169" w:rsidP="00D14169">
      <w:pPr>
        <w:rPr>
          <w:sz w:val="24"/>
          <w:szCs w:val="24"/>
        </w:rPr>
      </w:pPr>
      <w:r w:rsidRPr="0015758E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S</w:t>
      </w:r>
      <w:r w:rsidRPr="0015758E">
        <w:rPr>
          <w:b/>
          <w:bCs/>
          <w:sz w:val="24"/>
          <w:szCs w:val="24"/>
        </w:rPr>
        <w:t>2:</w:t>
      </w:r>
      <w:r w:rsidRPr="0015758E">
        <w:rPr>
          <w:sz w:val="24"/>
          <w:szCs w:val="24"/>
        </w:rPr>
        <w:t xml:space="preserve"> Pipeline B. The workflow for identifying MS risk SNPs or SNPs in LD with them which are located within or close to the putative EBV/cellular miRNAs target sites.</w:t>
      </w:r>
    </w:p>
    <w:p w14:paraId="56E8AFCA" w14:textId="638299AE" w:rsidR="00D14169" w:rsidRPr="0015758E" w:rsidRDefault="00D14169" w:rsidP="00D14169">
      <w:pPr>
        <w:rPr>
          <w:sz w:val="24"/>
          <w:szCs w:val="24"/>
        </w:rPr>
      </w:pPr>
      <w:r w:rsidRPr="0015758E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S</w:t>
      </w:r>
      <w:r w:rsidRPr="0015758E">
        <w:rPr>
          <w:b/>
          <w:bCs/>
          <w:sz w:val="24"/>
          <w:szCs w:val="24"/>
        </w:rPr>
        <w:t>3:</w:t>
      </w:r>
      <w:r w:rsidRPr="0015758E">
        <w:rPr>
          <w:sz w:val="24"/>
          <w:szCs w:val="24"/>
        </w:rPr>
        <w:t xml:space="preserve"> The list of genes which were targeted by MS risk miRNAs. The prediction algorithm was used for identifying the targeted genes illustrated by yellow, light green and dark green for </w:t>
      </w:r>
      <w:proofErr w:type="spellStart"/>
      <w:r w:rsidRPr="0015758E">
        <w:rPr>
          <w:sz w:val="24"/>
          <w:szCs w:val="24"/>
        </w:rPr>
        <w:t>TargetScan</w:t>
      </w:r>
      <w:proofErr w:type="spellEnd"/>
      <w:r w:rsidRPr="0015758E">
        <w:rPr>
          <w:sz w:val="24"/>
          <w:szCs w:val="24"/>
        </w:rPr>
        <w:t xml:space="preserve">, </w:t>
      </w:r>
      <w:proofErr w:type="spellStart"/>
      <w:r w:rsidRPr="0015758E">
        <w:rPr>
          <w:sz w:val="24"/>
          <w:szCs w:val="24"/>
        </w:rPr>
        <w:t>miRmap</w:t>
      </w:r>
      <w:proofErr w:type="spellEnd"/>
      <w:r w:rsidRPr="0015758E">
        <w:rPr>
          <w:sz w:val="24"/>
          <w:szCs w:val="24"/>
        </w:rPr>
        <w:t xml:space="preserve"> and both, respectively. The asterisk indicates the MS risk genes.</w:t>
      </w:r>
    </w:p>
    <w:p w14:paraId="37ACC913" w14:textId="243C5A8A" w:rsidR="00D14169" w:rsidRDefault="00D14169" w:rsidP="00D14169">
      <w:pPr>
        <w:rPr>
          <w:sz w:val="24"/>
          <w:szCs w:val="24"/>
        </w:rPr>
      </w:pPr>
      <w:r w:rsidRPr="0015758E">
        <w:rPr>
          <w:b/>
          <w:bCs/>
          <w:sz w:val="24"/>
          <w:szCs w:val="24"/>
        </w:rPr>
        <w:t xml:space="preserve">Figure </w:t>
      </w:r>
      <w:r>
        <w:rPr>
          <w:b/>
          <w:bCs/>
          <w:sz w:val="24"/>
          <w:szCs w:val="24"/>
        </w:rPr>
        <w:t>S</w:t>
      </w:r>
      <w:r w:rsidRPr="0015758E">
        <w:rPr>
          <w:b/>
          <w:bCs/>
          <w:sz w:val="24"/>
          <w:szCs w:val="24"/>
        </w:rPr>
        <w:t>4:</w:t>
      </w:r>
      <w:r w:rsidRPr="0015758E">
        <w:rPr>
          <w:sz w:val="24"/>
          <w:szCs w:val="24"/>
        </w:rPr>
        <w:t xml:space="preserve"> The putative cellular miRNAs target sites which were located nearby the MS risk SNPs and SNPs in LD with them.</w:t>
      </w:r>
    </w:p>
    <w:p w14:paraId="3A6A36D3" w14:textId="77777777" w:rsidR="00D14169" w:rsidRDefault="00D1416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7C61C90" w14:textId="77777777" w:rsidR="00D14169" w:rsidRPr="009D5A05" w:rsidRDefault="00D14169" w:rsidP="00D14169">
      <w:pPr>
        <w:jc w:val="both"/>
        <w:rPr>
          <w:rFonts w:ascii="Calibri" w:eastAsia="Calibri" w:hAnsi="Calibri" w:cs="Arial"/>
          <w:lang w:val="en-AU"/>
        </w:rPr>
        <w:sectPr w:rsidR="00D14169" w:rsidRPr="009D5A05" w:rsidSect="001856D5">
          <w:pgSz w:w="11906" w:h="16838"/>
          <w:pgMar w:top="1440" w:right="1440" w:bottom="1440" w:left="1440" w:header="0" w:footer="0" w:gutter="0"/>
          <w:cols w:space="720"/>
          <w:formProt w:val="0"/>
          <w:docGrid w:linePitch="360" w:charSpace="8192"/>
        </w:sectPr>
      </w:pPr>
    </w:p>
    <w:p w14:paraId="264286F9" w14:textId="77777777" w:rsidR="00D14169" w:rsidRPr="009D5A05" w:rsidRDefault="00D14169" w:rsidP="00D14169">
      <w:pPr>
        <w:jc w:val="both"/>
        <w:rPr>
          <w:rFonts w:ascii="Calibri" w:eastAsia="Calibri" w:hAnsi="Calibri" w:cs="Arial"/>
          <w:b/>
          <w:bCs/>
          <w:lang w:val="en-AU"/>
        </w:rPr>
      </w:pPr>
    </w:p>
    <w:p w14:paraId="6140BCF2" w14:textId="25651CF7" w:rsidR="00D14169" w:rsidRPr="009D5A05" w:rsidRDefault="00D14169" w:rsidP="00D14169">
      <w:pPr>
        <w:jc w:val="both"/>
        <w:rPr>
          <w:rFonts w:ascii="Calibri" w:eastAsia="Calibri" w:hAnsi="Calibri" w:cs="Arial"/>
          <w:sz w:val="24"/>
          <w:szCs w:val="24"/>
          <w:lang w:val="en-AU"/>
        </w:rPr>
      </w:pPr>
      <w:r w:rsidRPr="009D5A05"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 xml:space="preserve">Figure </w:t>
      </w:r>
      <w:r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>S</w:t>
      </w:r>
      <w:r w:rsidRPr="009D5A05"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 xml:space="preserve">1: </w:t>
      </w:r>
      <w:r w:rsidRPr="009D5A05">
        <w:rPr>
          <w:rFonts w:ascii="Calibri" w:eastAsia="Calibri" w:hAnsi="Calibri" w:cs="Arial"/>
          <w:sz w:val="24"/>
          <w:szCs w:val="24"/>
          <w:lang w:val="en-AU"/>
        </w:rPr>
        <w:t>Pipeline A. we used this workflow to identify MS risk miRNAs, obtain EBV miRNAs, and predict cellular and EBV miRNAs targets.</w:t>
      </w:r>
      <w:r w:rsidRPr="009D5A05">
        <w:rPr>
          <w:rFonts w:ascii="Calibri" w:eastAsia="Calibri" w:hAnsi="Calibri" w:cs="Arial"/>
          <w:b/>
          <w:bCs/>
          <w:sz w:val="24"/>
          <w:szCs w:val="24"/>
          <w:lang w:val="en-AU"/>
        </w:rPr>
        <w:t xml:space="preserve"> </w:t>
      </w:r>
    </w:p>
    <w:p w14:paraId="0B9D7C7D" w14:textId="77777777" w:rsidR="00D14169" w:rsidRPr="009D5A05" w:rsidRDefault="00D14169" w:rsidP="00D14169">
      <w:pPr>
        <w:rPr>
          <w:rFonts w:ascii="Calibri" w:eastAsia="Calibri" w:hAnsi="Calibri" w:cs="Arial"/>
          <w:b/>
          <w:bCs/>
          <w:lang w:val="en-AU"/>
        </w:rPr>
      </w:pPr>
      <w:r w:rsidRPr="009D5A05">
        <w:rPr>
          <w:rFonts w:ascii="Calibri" w:eastAsia="Calibri" w:hAnsi="Calibri" w:cs="Arial"/>
          <w:b/>
          <w:bCs/>
          <w:noProof/>
          <w:lang w:val="en-AU"/>
        </w:rPr>
        <w:drawing>
          <wp:anchor distT="0" distB="0" distL="114300" distR="114300" simplePos="0" relativeHeight="251664384" behindDoc="0" locked="0" layoutInCell="1" allowOverlap="1" wp14:anchorId="6079298E" wp14:editId="233C261F">
            <wp:simplePos x="0" y="0"/>
            <wp:positionH relativeFrom="margin">
              <wp:posOffset>-295275</wp:posOffset>
            </wp:positionH>
            <wp:positionV relativeFrom="margin">
              <wp:align>top</wp:align>
            </wp:positionV>
            <wp:extent cx="6488430" cy="5652135"/>
            <wp:effectExtent l="0" t="0" r="0" b="0"/>
            <wp:wrapSquare wrapText="bothSides"/>
            <wp:docPr id="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5652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BD8274" w14:textId="77777777" w:rsidR="00D14169" w:rsidRPr="009D5A05" w:rsidRDefault="00D14169" w:rsidP="00D14169">
      <w:pPr>
        <w:rPr>
          <w:rFonts w:ascii="Calibri" w:eastAsia="Calibri" w:hAnsi="Calibri" w:cs="Arial"/>
          <w:lang w:val="en-AU" w:eastAsia="en-AU"/>
        </w:rPr>
      </w:pPr>
      <w:r w:rsidRPr="009D5A05">
        <w:rPr>
          <w:rFonts w:ascii="Calibri" w:eastAsia="Calibri" w:hAnsi="Calibri" w:cs="Arial"/>
          <w:lang w:val="en-AU"/>
        </w:rPr>
        <w:br w:type="page"/>
      </w:r>
    </w:p>
    <w:p w14:paraId="08427B14" w14:textId="77777777" w:rsidR="00D14169" w:rsidRPr="009D5A05" w:rsidRDefault="00D14169" w:rsidP="00D14169">
      <w:pPr>
        <w:rPr>
          <w:rFonts w:ascii="Calibri" w:eastAsia="Calibri" w:hAnsi="Calibri" w:cs="Arial"/>
          <w:lang w:val="en-AU" w:eastAsia="en-AU"/>
        </w:rPr>
      </w:pPr>
    </w:p>
    <w:p w14:paraId="7978670F" w14:textId="43D5F47F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theme="minorHAnsi"/>
          <w:sz w:val="24"/>
          <w:szCs w:val="24"/>
          <w:bdr w:val="none" w:sz="0" w:space="0" w:color="auto" w:frame="1"/>
          <w:lang w:val="en-AU"/>
        </w:rPr>
      </w:pPr>
      <w:r w:rsidRPr="009D5A05"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 xml:space="preserve">Figure </w:t>
      </w:r>
      <w:r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>S</w:t>
      </w:r>
      <w:r w:rsidRPr="009D5A05"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 xml:space="preserve">2: </w:t>
      </w:r>
      <w:r w:rsidRPr="009D5A05">
        <w:rPr>
          <w:rFonts w:ascii="Calibri" w:eastAsia="Calibri" w:hAnsi="Calibri" w:cstheme="minorHAnsi"/>
          <w:sz w:val="24"/>
          <w:szCs w:val="24"/>
          <w:bdr w:val="none" w:sz="0" w:space="0" w:color="auto" w:frame="1"/>
          <w:lang w:val="en-AU"/>
        </w:rPr>
        <w:t>Pipeline B. The workflow for identifying MS risk SNPs or SNPs in LD with them which are located within or close to the putative EBV/host miRNAs target sites.</w:t>
      </w:r>
    </w:p>
    <w:p w14:paraId="1B169E84" w14:textId="77777777" w:rsidR="00D14169" w:rsidRPr="009D5A05" w:rsidRDefault="00D14169" w:rsidP="00D14169">
      <w:pPr>
        <w:rPr>
          <w:rFonts w:ascii="Calibri" w:eastAsia="Calibri" w:hAnsi="Calibri" w:cs="Arial"/>
          <w:lang w:val="en-AU" w:eastAsia="en-AU"/>
        </w:rPr>
      </w:pPr>
      <w:r w:rsidRPr="009D5A05">
        <w:rPr>
          <w:rFonts w:ascii="Calibri" w:eastAsia="Calibri" w:hAnsi="Calibri" w:cs="Arial"/>
          <w:noProof/>
          <w:lang w:val="en-AU" w:eastAsia="en-AU"/>
        </w:rPr>
        <w:drawing>
          <wp:anchor distT="0" distB="0" distL="114300" distR="114300" simplePos="0" relativeHeight="251663360" behindDoc="0" locked="0" layoutInCell="1" allowOverlap="1" wp14:anchorId="558F3E90" wp14:editId="73600934">
            <wp:simplePos x="0" y="0"/>
            <wp:positionH relativeFrom="margin">
              <wp:posOffset>-152400</wp:posOffset>
            </wp:positionH>
            <wp:positionV relativeFrom="margin">
              <wp:align>top</wp:align>
            </wp:positionV>
            <wp:extent cx="5798820" cy="4846320"/>
            <wp:effectExtent l="0" t="0" r="0" b="0"/>
            <wp:wrapSquare wrapText="bothSides"/>
            <wp:docPr id="4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A05">
        <w:rPr>
          <w:rFonts w:ascii="Calibri" w:eastAsia="Calibri" w:hAnsi="Calibri" w:cs="Arial"/>
          <w:lang w:val="en-AU"/>
        </w:rPr>
        <w:br w:type="page"/>
      </w:r>
    </w:p>
    <w:p w14:paraId="4DCBEF5D" w14:textId="77777777" w:rsidR="00D14169" w:rsidRPr="009D5A05" w:rsidRDefault="00D14169" w:rsidP="00D14169">
      <w:pPr>
        <w:rPr>
          <w:rFonts w:ascii="Calibri" w:eastAsia="Calibri" w:hAnsi="Calibri" w:cs="Arial"/>
          <w:lang w:val="en-AU"/>
        </w:rPr>
      </w:pPr>
      <w:r w:rsidRPr="009D5A05">
        <w:rPr>
          <w:rFonts w:ascii="Calibri" w:eastAsia="Calibri" w:hAnsi="Calibri" w:cs="Arial"/>
          <w:noProof/>
          <w:lang w:val="en-AU"/>
        </w:rPr>
        <w:lastRenderedPageBreak/>
        <w:drawing>
          <wp:anchor distT="0" distB="0" distL="114300" distR="114300" simplePos="0" relativeHeight="251659264" behindDoc="0" locked="0" layoutInCell="1" allowOverlap="1" wp14:anchorId="464E0980" wp14:editId="3ACF45D9">
            <wp:simplePos x="0" y="0"/>
            <wp:positionH relativeFrom="margin">
              <wp:posOffset>4883150</wp:posOffset>
            </wp:positionH>
            <wp:positionV relativeFrom="margin">
              <wp:posOffset>-664845</wp:posOffset>
            </wp:positionV>
            <wp:extent cx="1524000" cy="10193655"/>
            <wp:effectExtent l="0" t="0" r="0" b="0"/>
            <wp:wrapSquare wrapText="bothSides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193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A05">
        <w:rPr>
          <w:rFonts w:ascii="Calibri" w:eastAsia="Calibri" w:hAnsi="Calibri" w:cs="Arial"/>
          <w:noProof/>
          <w:lang w:val="en-AU"/>
        </w:rPr>
        <w:drawing>
          <wp:anchor distT="0" distB="0" distL="114300" distR="114300" simplePos="0" relativeHeight="251662336" behindDoc="0" locked="0" layoutInCell="1" allowOverlap="1" wp14:anchorId="3CB76136" wp14:editId="6219241D">
            <wp:simplePos x="0" y="0"/>
            <wp:positionH relativeFrom="margin">
              <wp:posOffset>3185160</wp:posOffset>
            </wp:positionH>
            <wp:positionV relativeFrom="margin">
              <wp:posOffset>-671195</wp:posOffset>
            </wp:positionV>
            <wp:extent cx="1536065" cy="9467850"/>
            <wp:effectExtent l="0" t="0" r="0" b="0"/>
            <wp:wrapSquare wrapText="bothSides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946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A05">
        <w:rPr>
          <w:rFonts w:ascii="Calibri" w:eastAsia="Calibri" w:hAnsi="Calibri" w:cs="Arial"/>
          <w:noProof/>
          <w:lang w:val="en-AU"/>
        </w:rPr>
        <w:drawing>
          <wp:anchor distT="0" distB="0" distL="114300" distR="114300" simplePos="0" relativeHeight="251661312" behindDoc="0" locked="0" layoutInCell="1" allowOverlap="1" wp14:anchorId="798B6205" wp14:editId="733C52D3">
            <wp:simplePos x="0" y="0"/>
            <wp:positionH relativeFrom="margin">
              <wp:posOffset>1679575</wp:posOffset>
            </wp:positionH>
            <wp:positionV relativeFrom="margin">
              <wp:posOffset>-671195</wp:posOffset>
            </wp:positionV>
            <wp:extent cx="1371600" cy="5499100"/>
            <wp:effectExtent l="0" t="0" r="0" b="6350"/>
            <wp:wrapSquare wrapText="bothSides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9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A05">
        <w:rPr>
          <w:rFonts w:ascii="Calibri" w:eastAsia="Calibri" w:hAnsi="Calibri" w:cs="Arial"/>
          <w:noProof/>
          <w:lang w:val="en-AU"/>
        </w:rPr>
        <w:drawing>
          <wp:anchor distT="0" distB="0" distL="0" distR="114300" simplePos="0" relativeHeight="251666432" behindDoc="0" locked="0" layoutInCell="1" allowOverlap="1" wp14:anchorId="6C424FFA" wp14:editId="4703163E">
            <wp:simplePos x="0" y="0"/>
            <wp:positionH relativeFrom="margin">
              <wp:posOffset>0</wp:posOffset>
            </wp:positionH>
            <wp:positionV relativeFrom="margin">
              <wp:posOffset>-669925</wp:posOffset>
            </wp:positionV>
            <wp:extent cx="1402080" cy="2493645"/>
            <wp:effectExtent l="0" t="0" r="7620" b="1905"/>
            <wp:wrapSquare wrapText="bothSides"/>
            <wp:docPr id="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AB295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  <w:r w:rsidRPr="009D5A05">
        <w:rPr>
          <w:rFonts w:ascii="Calibri" w:eastAsia="Calibri" w:hAnsi="Calibri" w:cs="Arial"/>
          <w:noProof/>
          <w:lang w:val="en-AU"/>
        </w:rPr>
        <w:drawing>
          <wp:anchor distT="0" distB="0" distL="114300" distR="114300" simplePos="0" relativeHeight="251665408" behindDoc="0" locked="0" layoutInCell="1" allowOverlap="1" wp14:anchorId="5C791C11" wp14:editId="2D36A652">
            <wp:simplePos x="0" y="0"/>
            <wp:positionH relativeFrom="margin">
              <wp:align>left</wp:align>
            </wp:positionH>
            <wp:positionV relativeFrom="margin">
              <wp:posOffset>2319020</wp:posOffset>
            </wp:positionV>
            <wp:extent cx="1426845" cy="3395980"/>
            <wp:effectExtent l="0" t="0" r="1905" b="0"/>
            <wp:wrapSquare wrapText="bothSides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339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91B1E7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7E62D876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31171623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5DB90C83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1F21E897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72E4AB04" w14:textId="77777777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="Arial"/>
          <w:b/>
          <w:bCs/>
          <w:lang w:val="en-AU"/>
        </w:rPr>
      </w:pPr>
    </w:p>
    <w:p w14:paraId="4981A134" w14:textId="724B3C26" w:rsidR="00D14169" w:rsidRPr="009D5A05" w:rsidRDefault="00D14169" w:rsidP="00D14169">
      <w:pPr>
        <w:shd w:val="clear" w:color="auto" w:fill="FFFFFF"/>
        <w:spacing w:after="120"/>
        <w:jc w:val="both"/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</w:pPr>
      <w:r w:rsidRPr="009D5A05">
        <w:rPr>
          <w:rFonts w:ascii="Calibri" w:eastAsia="Calibri" w:hAnsi="Calibri" w:cs="Arial"/>
          <w:b/>
          <w:bCs/>
          <w:lang w:val="en-AU"/>
        </w:rPr>
        <w:t xml:space="preserve">Figure </w:t>
      </w:r>
      <w:r>
        <w:rPr>
          <w:rFonts w:ascii="Calibri" w:eastAsia="Calibri" w:hAnsi="Calibri" w:cs="Arial"/>
          <w:b/>
          <w:bCs/>
          <w:lang w:val="en-AU"/>
        </w:rPr>
        <w:t>S</w:t>
      </w:r>
      <w:r w:rsidRPr="009D5A05">
        <w:rPr>
          <w:rFonts w:ascii="Calibri" w:eastAsia="Calibri" w:hAnsi="Calibri" w:cs="Arial"/>
          <w:b/>
          <w:bCs/>
          <w:lang w:val="en-AU"/>
        </w:rPr>
        <w:t>3</w:t>
      </w:r>
      <w:r w:rsidRPr="009D5A05">
        <w:rPr>
          <w:rFonts w:ascii="Calibri" w:eastAsia="Calibri" w:hAnsi="Calibri" w:cstheme="minorHAnsi"/>
          <w:b/>
          <w:bCs/>
          <w:sz w:val="24"/>
          <w:szCs w:val="24"/>
          <w:bdr w:val="none" w:sz="0" w:space="0" w:color="auto" w:frame="1"/>
          <w:lang w:val="en-AU"/>
        </w:rPr>
        <w:t xml:space="preserve">: </w:t>
      </w:r>
      <w:r w:rsidRPr="009D5A05">
        <w:rPr>
          <w:rFonts w:ascii="Calibri" w:eastAsia="Calibri" w:hAnsi="Calibri" w:cstheme="minorHAnsi"/>
          <w:sz w:val="24"/>
          <w:szCs w:val="24"/>
          <w:bdr w:val="none" w:sz="0" w:space="0" w:color="auto" w:frame="1"/>
          <w:lang w:val="en-AU"/>
        </w:rPr>
        <w:t xml:space="preserve">The list of genes which were targeted by </w:t>
      </w:r>
      <w:r w:rsidRPr="009D5A05">
        <w:rPr>
          <w:rFonts w:ascii="Calibri" w:eastAsia="Calibri" w:hAnsi="Calibri" w:cs="Arial"/>
          <w:sz w:val="24"/>
          <w:szCs w:val="24"/>
          <w:lang w:val="en-AU"/>
        </w:rPr>
        <w:t xml:space="preserve">MS risk miRNAs. Yellow, light green and Dark green shows the interactions predicted by </w:t>
      </w:r>
      <w:proofErr w:type="spellStart"/>
      <w:r w:rsidRPr="009D5A05">
        <w:rPr>
          <w:rFonts w:ascii="Calibri" w:eastAsia="Calibri" w:hAnsi="Calibri" w:cs="Arial"/>
          <w:sz w:val="24"/>
          <w:szCs w:val="24"/>
          <w:lang w:val="en-AU"/>
        </w:rPr>
        <w:t>TargetScan</w:t>
      </w:r>
      <w:proofErr w:type="spellEnd"/>
      <w:r w:rsidRPr="009D5A05">
        <w:rPr>
          <w:rFonts w:ascii="Calibri" w:eastAsia="Calibri" w:hAnsi="Calibri" w:cs="Arial"/>
          <w:sz w:val="24"/>
          <w:szCs w:val="24"/>
          <w:lang w:val="en-AU"/>
        </w:rPr>
        <w:t xml:space="preserve">, </w:t>
      </w:r>
      <w:proofErr w:type="spellStart"/>
      <w:r w:rsidRPr="009D5A05">
        <w:rPr>
          <w:rFonts w:ascii="Calibri" w:eastAsia="Calibri" w:hAnsi="Calibri" w:cs="Arial"/>
          <w:sz w:val="24"/>
          <w:szCs w:val="24"/>
          <w:lang w:val="en-AU"/>
        </w:rPr>
        <w:t>miRmap</w:t>
      </w:r>
      <w:proofErr w:type="spellEnd"/>
      <w:r w:rsidRPr="009D5A05">
        <w:rPr>
          <w:rFonts w:ascii="Calibri" w:eastAsia="Calibri" w:hAnsi="Calibri" w:cs="Arial"/>
          <w:sz w:val="24"/>
          <w:szCs w:val="24"/>
          <w:lang w:val="en-AU"/>
        </w:rPr>
        <w:t xml:space="preserve"> and both, respectively. Star shows the MS risk </w:t>
      </w:r>
      <w:proofErr w:type="spellStart"/>
      <w:proofErr w:type="gramStart"/>
      <w:r w:rsidRPr="009D5A05">
        <w:rPr>
          <w:rFonts w:ascii="Calibri" w:eastAsia="Calibri" w:hAnsi="Calibri" w:cs="Arial"/>
          <w:sz w:val="24"/>
          <w:szCs w:val="24"/>
          <w:lang w:val="en-AU"/>
        </w:rPr>
        <w:t>genes.The</w:t>
      </w:r>
      <w:proofErr w:type="spellEnd"/>
      <w:proofErr w:type="gramEnd"/>
      <w:r w:rsidRPr="009D5A05">
        <w:rPr>
          <w:rFonts w:ascii="Calibri" w:eastAsia="Calibri" w:hAnsi="Calibri" w:cs="Arial"/>
          <w:sz w:val="24"/>
          <w:szCs w:val="24"/>
          <w:lang w:val="en-AU"/>
        </w:rPr>
        <w:t xml:space="preserve"> asterisk indicates the MS risk genes.</w:t>
      </w:r>
    </w:p>
    <w:p w14:paraId="0D121F56" w14:textId="77777777" w:rsidR="00D14169" w:rsidRPr="009D5A05" w:rsidRDefault="00D14169" w:rsidP="00D14169">
      <w:pPr>
        <w:rPr>
          <w:rFonts w:ascii="Calibri" w:eastAsia="Calibri" w:hAnsi="Calibri" w:cs="Arial"/>
          <w:lang w:val="en-AU"/>
        </w:rPr>
      </w:pPr>
    </w:p>
    <w:p w14:paraId="0B48D8BF" w14:textId="77777777" w:rsidR="00D14169" w:rsidRPr="009D5A05" w:rsidRDefault="00D14169" w:rsidP="00D14169">
      <w:pPr>
        <w:rPr>
          <w:rFonts w:ascii="Calibri" w:eastAsia="Calibri" w:hAnsi="Calibri" w:cs="Arial"/>
          <w:lang w:val="en-AU"/>
        </w:rPr>
        <w:sectPr w:rsidR="00D14169" w:rsidRPr="009D5A05">
          <w:pgSz w:w="11906" w:h="16838"/>
          <w:pgMar w:top="1440" w:right="1440" w:bottom="1440" w:left="1440" w:header="0" w:footer="0" w:gutter="0"/>
          <w:cols w:space="720"/>
          <w:formProt w:val="0"/>
          <w:docGrid w:linePitch="360" w:charSpace="8192"/>
        </w:sectPr>
      </w:pPr>
    </w:p>
    <w:p w14:paraId="04AFDB33" w14:textId="77777777" w:rsidR="00D14169" w:rsidRPr="009D5A05" w:rsidRDefault="00D14169" w:rsidP="00D14169">
      <w:pPr>
        <w:rPr>
          <w:rFonts w:ascii="Calibri" w:eastAsia="Calibri" w:hAnsi="Calibri" w:cs="Arial"/>
          <w:b/>
          <w:bCs/>
          <w:lang w:val="en-AU"/>
        </w:rPr>
      </w:pPr>
      <w:r w:rsidRPr="009D5A05">
        <w:rPr>
          <w:rFonts w:ascii="Calibri" w:eastAsia="Calibri" w:hAnsi="Calibri" w:cs="Arial"/>
          <w:b/>
          <w:bCs/>
          <w:noProof/>
          <w:lang w:val="en-AU"/>
        </w:rPr>
        <w:lastRenderedPageBreak/>
        <w:drawing>
          <wp:anchor distT="0" distB="0" distL="114300" distR="114300" simplePos="0" relativeHeight="251660288" behindDoc="0" locked="0" layoutInCell="1" allowOverlap="1" wp14:anchorId="24977214" wp14:editId="61003E6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847080" cy="3906520"/>
            <wp:effectExtent l="0" t="0" r="1270" b="0"/>
            <wp:wrapSquare wrapText="bothSides"/>
            <wp:docPr id="13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080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78F5C3" w14:textId="425A4A25" w:rsidR="00D14169" w:rsidRPr="009D5A05" w:rsidRDefault="00D14169" w:rsidP="00D14169">
      <w:pPr>
        <w:rPr>
          <w:rFonts w:ascii="Calibri" w:eastAsia="Calibri" w:hAnsi="Calibri" w:cs="Arial"/>
          <w:lang w:val="en-AU"/>
        </w:rPr>
      </w:pPr>
      <w:r w:rsidRPr="009D5A05">
        <w:rPr>
          <w:rFonts w:ascii="Calibri" w:eastAsia="Calibri" w:hAnsi="Calibri" w:cs="Arial"/>
          <w:b/>
          <w:bCs/>
          <w:lang w:val="en-AU"/>
        </w:rPr>
        <w:t xml:space="preserve">Figure </w:t>
      </w:r>
      <w:r>
        <w:rPr>
          <w:rFonts w:ascii="Calibri" w:eastAsia="Calibri" w:hAnsi="Calibri" w:cs="Arial"/>
          <w:b/>
          <w:bCs/>
          <w:lang w:val="en-AU"/>
        </w:rPr>
        <w:t>S</w:t>
      </w:r>
      <w:r w:rsidRPr="009D5A05">
        <w:rPr>
          <w:rFonts w:ascii="Calibri" w:eastAsia="Calibri" w:hAnsi="Calibri" w:cs="Arial"/>
          <w:b/>
          <w:bCs/>
          <w:lang w:val="en-AU"/>
        </w:rPr>
        <w:t xml:space="preserve">4: </w:t>
      </w:r>
      <w:r w:rsidRPr="009D5A05">
        <w:rPr>
          <w:rFonts w:ascii="Calibri" w:eastAsia="Calibri" w:hAnsi="Calibri" w:cs="Arial"/>
          <w:lang w:val="en-AU"/>
        </w:rPr>
        <w:t>The putative cellular miRNAs target sites which were located nearby the MS risk SNPs and SNPs in LD with them.</w:t>
      </w:r>
    </w:p>
    <w:p w14:paraId="26DDC0DB" w14:textId="77777777" w:rsidR="00D14169" w:rsidRPr="0015758E" w:rsidRDefault="00D14169" w:rsidP="00D14169">
      <w:pPr>
        <w:rPr>
          <w:sz w:val="24"/>
          <w:szCs w:val="24"/>
        </w:rPr>
      </w:pPr>
    </w:p>
    <w:p w14:paraId="706CBE4E" w14:textId="77777777" w:rsidR="00352B9C" w:rsidRDefault="00352B9C"/>
    <w:sectPr w:rsidR="00352B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C0"/>
    <w:rsid w:val="00352B9C"/>
    <w:rsid w:val="00CD6AC0"/>
    <w:rsid w:val="00D1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A01BB"/>
  <w15:chartTrackingRefBased/>
  <w15:docId w15:val="{7AD4C48D-3251-4469-8B03-22DB84FE3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1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Afrasiabi</dc:creator>
  <cp:keywords/>
  <dc:description/>
  <cp:lastModifiedBy>Ali Afrasiabi</cp:lastModifiedBy>
  <cp:revision>2</cp:revision>
  <dcterms:created xsi:type="dcterms:W3CDTF">2021-01-29T05:34:00Z</dcterms:created>
  <dcterms:modified xsi:type="dcterms:W3CDTF">2021-01-29T05:55:00Z</dcterms:modified>
</cp:coreProperties>
</file>