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DE648D5" w14:textId="77777777" w:rsidR="00850E67" w:rsidRPr="00744116" w:rsidRDefault="00850E67" w:rsidP="00850E67">
      <w:pPr>
        <w:pStyle w:val="MDPI12title"/>
        <w:spacing w:line="240" w:lineRule="atLeast"/>
      </w:pPr>
      <w:r>
        <w:t>Combined genome, transcriptome and metabolome analysis in the diagnosis of childhood cerebellar ataxia</w:t>
      </w:r>
    </w:p>
    <w:p w14:paraId="0DB59D79" w14:textId="68263A27" w:rsidR="00B13AE2" w:rsidRPr="00B45AF4" w:rsidRDefault="00B13AE2" w:rsidP="00B13AE2">
      <w:pPr>
        <w:pStyle w:val="MDPI13authornames"/>
        <w:rPr>
          <w:lang w:val="es-ES"/>
        </w:rPr>
      </w:pPr>
      <w:r w:rsidRPr="00860F07">
        <w:rPr>
          <w:lang w:val="es-ES"/>
        </w:rPr>
        <w:t xml:space="preserve">Ana Ching-López </w:t>
      </w:r>
      <w:r w:rsidRPr="00860F07">
        <w:rPr>
          <w:vertAlign w:val="superscript"/>
          <w:lang w:val="es-ES"/>
        </w:rPr>
        <w:t>1</w:t>
      </w:r>
      <w:r w:rsidRPr="00860F07">
        <w:rPr>
          <w:lang w:val="es-ES"/>
        </w:rPr>
        <w:t>, Luis Javier Mart</w:t>
      </w:r>
      <w:r>
        <w:rPr>
          <w:lang w:val="es-ES"/>
        </w:rPr>
        <w:t>i</w:t>
      </w:r>
      <w:r w:rsidRPr="00860F07">
        <w:rPr>
          <w:lang w:val="es-ES"/>
        </w:rPr>
        <w:t>nez-Gonz</w:t>
      </w:r>
      <w:r>
        <w:rPr>
          <w:lang w:val="es-ES"/>
        </w:rPr>
        <w:t>a</w:t>
      </w:r>
      <w:r w:rsidRPr="00860F07">
        <w:rPr>
          <w:lang w:val="es-ES"/>
        </w:rPr>
        <w:t xml:space="preserve">lez </w:t>
      </w:r>
      <w:r w:rsidRPr="00860F07">
        <w:rPr>
          <w:vertAlign w:val="superscript"/>
          <w:lang w:val="es-ES"/>
        </w:rPr>
        <w:t>2</w:t>
      </w:r>
      <w:r w:rsidRPr="00860F07">
        <w:rPr>
          <w:lang w:val="es-ES"/>
        </w:rPr>
        <w:t xml:space="preserve">, Luisa Arrabal </w:t>
      </w:r>
      <w:r w:rsidRPr="00860F07">
        <w:rPr>
          <w:vertAlign w:val="superscript"/>
          <w:lang w:val="es-ES"/>
        </w:rPr>
        <w:t>3</w:t>
      </w:r>
      <w:r w:rsidRPr="00860F07">
        <w:rPr>
          <w:lang w:val="es-ES"/>
        </w:rPr>
        <w:t xml:space="preserve">, Jorge Saiz </w:t>
      </w:r>
      <w:r w:rsidRPr="00860F07">
        <w:rPr>
          <w:vertAlign w:val="superscript"/>
          <w:lang w:val="es-ES"/>
        </w:rPr>
        <w:t>4</w:t>
      </w:r>
      <w:r w:rsidRPr="00860F07">
        <w:rPr>
          <w:lang w:val="es-ES"/>
        </w:rPr>
        <w:t xml:space="preserve">, </w:t>
      </w:r>
      <w:r w:rsidR="003C4985">
        <w:rPr>
          <w:lang w:val="es-ES"/>
        </w:rPr>
        <w:t>Ángela Gavilán</w:t>
      </w:r>
      <w:bookmarkStart w:id="0" w:name="_GoBack"/>
      <w:bookmarkEnd w:id="0"/>
      <w:r w:rsidR="003C4985">
        <w:rPr>
          <w:lang w:val="es-ES"/>
        </w:rPr>
        <w:t xml:space="preserve"> </w:t>
      </w:r>
      <w:r w:rsidR="003C4985" w:rsidRPr="003C4985">
        <w:rPr>
          <w:vertAlign w:val="superscript"/>
          <w:lang w:val="es-ES"/>
        </w:rPr>
        <w:t>5</w:t>
      </w:r>
      <w:r w:rsidR="003C4985">
        <w:rPr>
          <w:lang w:val="es-ES"/>
        </w:rPr>
        <w:t xml:space="preserve">, </w:t>
      </w:r>
      <w:r w:rsidRPr="00860F07">
        <w:rPr>
          <w:lang w:val="es-ES"/>
        </w:rPr>
        <w:t xml:space="preserve">Coral </w:t>
      </w:r>
      <w:r w:rsidRPr="001A7CCD">
        <w:rPr>
          <w:lang w:val="es-ES"/>
        </w:rPr>
        <w:t xml:space="preserve">Barbas </w:t>
      </w:r>
      <w:r w:rsidRPr="001A7CCD">
        <w:rPr>
          <w:vertAlign w:val="superscript"/>
          <w:lang w:val="es-ES"/>
        </w:rPr>
        <w:t>4</w:t>
      </w:r>
      <w:r w:rsidRPr="001A7CCD">
        <w:rPr>
          <w:lang w:val="es-ES"/>
        </w:rPr>
        <w:t>,</w:t>
      </w:r>
      <w:r w:rsidRPr="00860F07">
        <w:rPr>
          <w:lang w:val="es-ES"/>
        </w:rPr>
        <w:t xml:space="preserve"> Jose Antonio </w:t>
      </w:r>
      <w:r>
        <w:rPr>
          <w:lang w:val="es-ES"/>
        </w:rPr>
        <w:t>Lorente</w:t>
      </w:r>
      <w:r w:rsidRPr="00860F07">
        <w:rPr>
          <w:lang w:val="es-ES"/>
        </w:rPr>
        <w:t xml:space="preserve"> </w:t>
      </w:r>
      <w:r w:rsidRPr="001A7CCD">
        <w:rPr>
          <w:vertAlign w:val="superscript"/>
          <w:lang w:val="es-ES"/>
        </w:rPr>
        <w:t>2,</w:t>
      </w:r>
      <w:r w:rsidR="003C4985">
        <w:rPr>
          <w:vertAlign w:val="superscript"/>
          <w:lang w:val="es-ES"/>
        </w:rPr>
        <w:t>6</w:t>
      </w:r>
      <w:r w:rsidRPr="001A7CCD">
        <w:rPr>
          <w:lang w:val="es-ES"/>
        </w:rPr>
        <w:t>,</w:t>
      </w:r>
      <w:r w:rsidRPr="00860F07">
        <w:rPr>
          <w:lang w:val="es-ES"/>
        </w:rPr>
        <w:t xml:space="preserve"> </w:t>
      </w:r>
      <w:r>
        <w:rPr>
          <w:lang w:val="es-ES"/>
        </w:rPr>
        <w:t>Susana Roldán</w:t>
      </w:r>
      <w:r w:rsidRPr="00860F07">
        <w:rPr>
          <w:lang w:val="es-ES"/>
        </w:rPr>
        <w:t xml:space="preserve"> </w:t>
      </w:r>
      <w:r w:rsidR="00AF0805">
        <w:rPr>
          <w:vertAlign w:val="superscript"/>
          <w:lang w:val="es-ES"/>
        </w:rPr>
        <w:t>3</w:t>
      </w:r>
      <w:r w:rsidRPr="00860F07">
        <w:rPr>
          <w:lang w:val="es-ES"/>
        </w:rPr>
        <w:t xml:space="preserve">, </w:t>
      </w:r>
      <w:r>
        <w:rPr>
          <w:lang w:val="es-ES"/>
        </w:rPr>
        <w:t>Maria José Sánchez</w:t>
      </w:r>
      <w:r w:rsidRPr="00860F07">
        <w:rPr>
          <w:lang w:val="es-ES"/>
        </w:rPr>
        <w:t xml:space="preserve"> </w:t>
      </w:r>
      <w:r w:rsidRPr="0006188C">
        <w:rPr>
          <w:vertAlign w:val="superscript"/>
          <w:lang w:val="es-ES"/>
        </w:rPr>
        <w:t>1,</w:t>
      </w:r>
      <w:r w:rsidR="003C4985">
        <w:rPr>
          <w:vertAlign w:val="superscript"/>
          <w:lang w:val="es-ES"/>
        </w:rPr>
        <w:t>7</w:t>
      </w:r>
      <w:r>
        <w:rPr>
          <w:vertAlign w:val="superscript"/>
          <w:lang w:val="es-ES"/>
        </w:rPr>
        <w:t>,</w:t>
      </w:r>
      <w:r w:rsidR="003C4985">
        <w:rPr>
          <w:vertAlign w:val="superscript"/>
          <w:lang w:val="es-ES"/>
        </w:rPr>
        <w:t>8</w:t>
      </w:r>
      <w:r>
        <w:rPr>
          <w:vertAlign w:val="superscript"/>
          <w:lang w:val="es-ES"/>
        </w:rPr>
        <w:t>,</w:t>
      </w:r>
      <w:r w:rsidRPr="0006188C">
        <w:rPr>
          <w:lang w:val="es-ES"/>
        </w:rPr>
        <w:t>*</w:t>
      </w:r>
      <w:r w:rsidRPr="0006188C">
        <w:rPr>
          <w:vertAlign w:val="superscript"/>
          <w:lang w:val="es-ES"/>
        </w:rPr>
        <w:t>,</w:t>
      </w:r>
      <w:r>
        <w:rPr>
          <w:vertAlign w:val="superscript"/>
          <w:lang w:val="es-ES"/>
        </w:rPr>
        <w:t>†</w:t>
      </w:r>
      <w:r w:rsidRPr="00860F07">
        <w:rPr>
          <w:lang w:val="es-ES"/>
        </w:rPr>
        <w:t xml:space="preserve"> and </w:t>
      </w:r>
      <w:r>
        <w:rPr>
          <w:lang w:val="es-ES"/>
        </w:rPr>
        <w:t>Purificacion Gutierrez-</w:t>
      </w:r>
      <w:r w:rsidRPr="001A5CB1">
        <w:rPr>
          <w:lang w:val="es-ES"/>
        </w:rPr>
        <w:t xml:space="preserve">Ríos </w:t>
      </w:r>
      <w:r w:rsidR="00AF0805">
        <w:rPr>
          <w:vertAlign w:val="superscript"/>
          <w:lang w:val="es-ES"/>
        </w:rPr>
        <w:t>8</w:t>
      </w:r>
      <w:r w:rsidRPr="001A5CB1">
        <w:rPr>
          <w:vertAlign w:val="superscript"/>
          <w:lang w:val="es-ES"/>
        </w:rPr>
        <w:t>,†</w:t>
      </w:r>
    </w:p>
    <w:p w14:paraId="150068E3" w14:textId="4DCB454F" w:rsidR="00850E67" w:rsidRPr="00E9441E" w:rsidRDefault="00850E67" w:rsidP="00850E67">
      <w:pPr>
        <w:pStyle w:val="MDPI14history"/>
        <w:spacing w:before="0"/>
        <w:ind w:left="311" w:hanging="198"/>
      </w:pPr>
      <w:r w:rsidRPr="00E9441E">
        <w:rPr>
          <w:b/>
        </w:rPr>
        <w:t>*</w:t>
      </w:r>
      <w:r w:rsidRPr="00E9441E">
        <w:tab/>
        <w:t xml:space="preserve">Correspondence: </w:t>
      </w:r>
      <w:r w:rsidR="00B13AE2" w:rsidRPr="00E9441E">
        <w:t>mariajose.sanchez.easp@juntadeandalucia.es</w:t>
      </w:r>
    </w:p>
    <w:p w14:paraId="761449BF" w14:textId="77777777" w:rsidR="00B13AE2" w:rsidRPr="00B45AF4" w:rsidRDefault="00B13AE2" w:rsidP="00B13AE2">
      <w:pPr>
        <w:pStyle w:val="MDPI14history"/>
        <w:spacing w:before="0"/>
        <w:ind w:left="311" w:hanging="198"/>
      </w:pPr>
      <w:r w:rsidRPr="00B45AF4">
        <w:rPr>
          <w:vertAlign w:val="superscript"/>
        </w:rPr>
        <w:t>†</w:t>
      </w:r>
      <w:r w:rsidRPr="00744116">
        <w:tab/>
      </w:r>
      <w:r>
        <w:t>These authors have contributed equally</w:t>
      </w:r>
    </w:p>
    <w:p w14:paraId="5B66B2CD" w14:textId="4BC476B9" w:rsidR="00850E67" w:rsidRPr="00850E67" w:rsidRDefault="00850E67" w:rsidP="00850E67">
      <w:pPr>
        <w:spacing w:after="0" w:line="240" w:lineRule="auto"/>
        <w:rPr>
          <w:rFonts w:ascii="Palatino Linotype" w:hAnsi="Palatino Linotype"/>
          <w:sz w:val="20"/>
          <w:szCs w:val="24"/>
        </w:rPr>
      </w:pPr>
    </w:p>
    <w:p w14:paraId="4B0B8221" w14:textId="138C0D8C" w:rsidR="00850E67" w:rsidRDefault="00850E67" w:rsidP="00850E67">
      <w:pPr>
        <w:spacing w:after="0" w:line="240" w:lineRule="auto"/>
        <w:rPr>
          <w:rFonts w:ascii="Palatino Linotype" w:hAnsi="Palatino Linotype"/>
          <w:sz w:val="20"/>
          <w:szCs w:val="24"/>
        </w:rPr>
      </w:pPr>
    </w:p>
    <w:p w14:paraId="7EF07A5D" w14:textId="77777777" w:rsidR="00850E67" w:rsidRPr="00850E67" w:rsidRDefault="00850E67" w:rsidP="00850E67">
      <w:pPr>
        <w:spacing w:after="0" w:line="240" w:lineRule="auto"/>
        <w:rPr>
          <w:rFonts w:ascii="Palatino Linotype" w:hAnsi="Palatino Linotype"/>
          <w:sz w:val="20"/>
          <w:szCs w:val="24"/>
        </w:rPr>
      </w:pPr>
    </w:p>
    <w:p w14:paraId="25D89860" w14:textId="01B6C315" w:rsidR="009A7203" w:rsidRPr="00850E67" w:rsidRDefault="009A7203" w:rsidP="00850E67">
      <w:pPr>
        <w:spacing w:after="0" w:line="240" w:lineRule="auto"/>
        <w:rPr>
          <w:rFonts w:ascii="Palatino Linotype" w:hAnsi="Palatino Linotype"/>
          <w:b/>
          <w:sz w:val="24"/>
          <w:szCs w:val="24"/>
        </w:rPr>
      </w:pPr>
      <w:r w:rsidRPr="00850E67">
        <w:rPr>
          <w:rFonts w:ascii="Palatino Linotype" w:hAnsi="Palatino Linotype"/>
          <w:b/>
          <w:sz w:val="24"/>
          <w:szCs w:val="24"/>
        </w:rPr>
        <w:t>Supplementary Material</w:t>
      </w:r>
    </w:p>
    <w:p w14:paraId="0C07D651" w14:textId="77777777" w:rsidR="009A7203" w:rsidRDefault="009A7203">
      <w:pPr>
        <w:rPr>
          <w:rFonts w:ascii="Times New Roman" w:hAnsi="Times New Roman" w:cs="Times New Roman"/>
          <w:szCs w:val="24"/>
        </w:rPr>
      </w:pPr>
    </w:p>
    <w:p w14:paraId="4B0BCE1D" w14:textId="5C7A55D8" w:rsidR="009A7203" w:rsidRPr="00850E67" w:rsidRDefault="009A7203">
      <w:pPr>
        <w:rPr>
          <w:rFonts w:ascii="Palatino Linotype" w:hAnsi="Palatino Linotype" w:cs="Times New Roman"/>
          <w:b/>
          <w:sz w:val="20"/>
          <w:szCs w:val="20"/>
        </w:rPr>
      </w:pPr>
      <w:r w:rsidRPr="00850E67">
        <w:rPr>
          <w:rFonts w:ascii="Palatino Linotype" w:hAnsi="Palatino Linotype" w:cs="Times New Roman"/>
          <w:b/>
          <w:sz w:val="20"/>
          <w:szCs w:val="20"/>
        </w:rPr>
        <w:t>Methodology for the untargeted metabolomics analysis</w:t>
      </w:r>
    </w:p>
    <w:p w14:paraId="169972E9" w14:textId="77777777" w:rsidR="009A7203" w:rsidRPr="00850E67" w:rsidRDefault="009A7203" w:rsidP="009A7203">
      <w:pPr>
        <w:jc w:val="both"/>
        <w:rPr>
          <w:rFonts w:ascii="Palatino Linotype" w:hAnsi="Palatino Linotype" w:cs="Times New Roman"/>
          <w:i/>
          <w:sz w:val="20"/>
          <w:szCs w:val="20"/>
        </w:rPr>
      </w:pPr>
      <w:r w:rsidRPr="00850E67">
        <w:rPr>
          <w:rFonts w:ascii="Palatino Linotype" w:hAnsi="Palatino Linotype" w:cs="Times New Roman"/>
          <w:i/>
          <w:sz w:val="20"/>
          <w:szCs w:val="20"/>
        </w:rPr>
        <w:t>Sample preparation procedure</w:t>
      </w:r>
    </w:p>
    <w:p w14:paraId="17DA05A7" w14:textId="68DD84AF" w:rsidR="009A7203" w:rsidRPr="00850E67" w:rsidRDefault="009A7203" w:rsidP="009A7203">
      <w:pPr>
        <w:jc w:val="both"/>
        <w:rPr>
          <w:rFonts w:ascii="Palatino Linotype" w:hAnsi="Palatino Linotype" w:cs="Times New Roman"/>
          <w:sz w:val="20"/>
          <w:szCs w:val="20"/>
        </w:rPr>
      </w:pPr>
      <w:r w:rsidRPr="00850E67">
        <w:rPr>
          <w:rFonts w:ascii="Palatino Linotype" w:hAnsi="Palatino Linotype" w:cs="Times New Roman"/>
          <w:sz w:val="20"/>
          <w:szCs w:val="20"/>
        </w:rPr>
        <w:t>Plasma sample preparation for</w:t>
      </w:r>
      <w:r w:rsidRPr="00850E67">
        <w:rPr>
          <w:rFonts w:ascii="Palatino Linotype" w:hAnsi="Palatino Linotype"/>
          <w:sz w:val="20"/>
          <w:szCs w:val="20"/>
        </w:rPr>
        <w:t xml:space="preserve"> </w:t>
      </w:r>
      <w:r w:rsidRPr="00850E67">
        <w:rPr>
          <w:rFonts w:ascii="Palatino Linotype" w:hAnsi="Palatino Linotype" w:cs="Times New Roman"/>
          <w:sz w:val="20"/>
          <w:szCs w:val="20"/>
        </w:rPr>
        <w:t>liquid chromatography–mass spectrometry (LC–MS) entailed the following steps: (1) thaw sample on ice, vortex for 2 min and transfer 100 µL of plasma into an Eppendorf tube; (2) for protein precipitation, add 300 µL of cold (-18</w:t>
      </w:r>
      <w:r w:rsidR="00850E67">
        <w:rPr>
          <w:rFonts w:ascii="Palatino Linotype" w:hAnsi="Palatino Linotype" w:cs="Times New Roman"/>
          <w:sz w:val="20"/>
          <w:szCs w:val="20"/>
        </w:rPr>
        <w:t>˚</w:t>
      </w:r>
      <w:r w:rsidRPr="00850E67">
        <w:rPr>
          <w:rFonts w:ascii="Palatino Linotype" w:hAnsi="Palatino Linotype" w:cs="Times New Roman"/>
          <w:sz w:val="20"/>
          <w:szCs w:val="20"/>
        </w:rPr>
        <w:t>C) methanol/ethanol (1:1 v/v), vortex for 1 min, incubate on ice for 5 min and vortex again briefly; (3) centrifuge at 1</w:t>
      </w:r>
      <w:r w:rsidR="001A4270">
        <w:rPr>
          <w:rFonts w:ascii="Palatino Linotype" w:hAnsi="Palatino Linotype" w:cs="Times New Roman"/>
          <w:sz w:val="20"/>
          <w:szCs w:val="20"/>
        </w:rPr>
        <w:t>3000</w:t>
      </w:r>
      <w:r w:rsidRPr="00850E67">
        <w:rPr>
          <w:rFonts w:ascii="Palatino Linotype" w:hAnsi="Palatino Linotype" w:cs="Times New Roman"/>
          <w:sz w:val="20"/>
          <w:szCs w:val="20"/>
        </w:rPr>
        <w:t xml:space="preserve"> </w:t>
      </w:r>
      <w:r w:rsidRPr="00F60B6F">
        <w:rPr>
          <w:rFonts w:ascii="Palatino Linotype" w:hAnsi="Palatino Linotype" w:cs="Times New Roman"/>
          <w:sz w:val="20"/>
          <w:szCs w:val="20"/>
        </w:rPr>
        <w:t>r</w:t>
      </w:r>
      <w:r w:rsidR="001A4270" w:rsidRPr="00F60B6F">
        <w:rPr>
          <w:rFonts w:ascii="Palatino Linotype" w:hAnsi="Palatino Linotype" w:cs="Times New Roman"/>
          <w:sz w:val="20"/>
          <w:szCs w:val="20"/>
        </w:rPr>
        <w:t>pm</w:t>
      </w:r>
      <w:r w:rsidRPr="00850E67">
        <w:rPr>
          <w:rFonts w:ascii="Palatino Linotype" w:hAnsi="Palatino Linotype" w:cs="Times New Roman"/>
          <w:sz w:val="20"/>
          <w:szCs w:val="20"/>
        </w:rPr>
        <w:t>, 4</w:t>
      </w:r>
      <w:r w:rsidR="00850E67">
        <w:rPr>
          <w:rFonts w:ascii="Palatino Linotype" w:hAnsi="Palatino Linotype" w:cs="Times New Roman"/>
          <w:sz w:val="20"/>
          <w:szCs w:val="20"/>
        </w:rPr>
        <w:t>˚</w:t>
      </w:r>
      <w:r w:rsidRPr="00850E67">
        <w:rPr>
          <w:rFonts w:ascii="Palatino Linotype" w:hAnsi="Palatino Linotype" w:cs="Times New Roman"/>
          <w:sz w:val="20"/>
          <w:szCs w:val="20"/>
        </w:rPr>
        <w:t>C, for 20 min; and (4) transfer the supernatant into the LC–MS system.</w:t>
      </w:r>
    </w:p>
    <w:p w14:paraId="22178334" w14:textId="3697CAE2" w:rsidR="009A7203" w:rsidRPr="00850E67" w:rsidRDefault="009A7203" w:rsidP="009A7203">
      <w:pPr>
        <w:jc w:val="both"/>
        <w:rPr>
          <w:rFonts w:ascii="Palatino Linotype" w:hAnsi="Palatino Linotype" w:cs="Times New Roman"/>
          <w:sz w:val="20"/>
          <w:szCs w:val="20"/>
        </w:rPr>
      </w:pPr>
      <w:r w:rsidRPr="00850E67">
        <w:rPr>
          <w:rFonts w:ascii="Palatino Linotype" w:hAnsi="Palatino Linotype" w:cs="Times New Roman"/>
          <w:sz w:val="20"/>
          <w:szCs w:val="20"/>
        </w:rPr>
        <w:t>Plasma sample preparation for</w:t>
      </w:r>
      <w:r w:rsidRPr="00850E67">
        <w:rPr>
          <w:rFonts w:ascii="Palatino Linotype" w:hAnsi="Palatino Linotype"/>
          <w:sz w:val="20"/>
          <w:szCs w:val="20"/>
        </w:rPr>
        <w:t xml:space="preserve"> </w:t>
      </w:r>
      <w:r w:rsidRPr="00850E67">
        <w:rPr>
          <w:rFonts w:ascii="Palatino Linotype" w:hAnsi="Palatino Linotype" w:cs="Times New Roman"/>
          <w:sz w:val="20"/>
          <w:szCs w:val="20"/>
        </w:rPr>
        <w:t xml:space="preserve">gas chromatography–mass spectrometry (GC–MS) entailed the following steps: (1) thaw sample on ice, vortex for 2 min and transfer 40 µL of plasma into an Eppendorf tube; (2) for protein precipitation, add 120 µL of cold </w:t>
      </w:r>
      <w:r w:rsidRPr="00850E67">
        <w:rPr>
          <w:rFonts w:ascii="Palatino Linotype" w:hAnsi="Palatino Linotype"/>
          <w:sz w:val="20"/>
          <w:szCs w:val="20"/>
        </w:rPr>
        <w:t>acetonitrile</w:t>
      </w:r>
      <w:r w:rsidRPr="00850E67">
        <w:rPr>
          <w:rFonts w:ascii="Palatino Linotype" w:hAnsi="Palatino Linotype" w:cs="Times New Roman"/>
          <w:sz w:val="20"/>
          <w:szCs w:val="20"/>
        </w:rPr>
        <w:t xml:space="preserve">, vortex for 2 min and incubate on ice for 5 min; (3) centrifuge at </w:t>
      </w:r>
      <w:r w:rsidRPr="00F60B6F">
        <w:rPr>
          <w:rFonts w:ascii="Palatino Linotype" w:hAnsi="Palatino Linotype" w:cs="Times New Roman"/>
          <w:sz w:val="20"/>
          <w:szCs w:val="20"/>
        </w:rPr>
        <w:t>15400 r</w:t>
      </w:r>
      <w:r w:rsidR="001A4270" w:rsidRPr="00F60B6F">
        <w:rPr>
          <w:rFonts w:ascii="Palatino Linotype" w:hAnsi="Palatino Linotype" w:cs="Times New Roman"/>
          <w:sz w:val="20"/>
          <w:szCs w:val="20"/>
        </w:rPr>
        <w:t>pm</w:t>
      </w:r>
      <w:r w:rsidRPr="00F60B6F">
        <w:rPr>
          <w:rFonts w:ascii="Palatino Linotype" w:hAnsi="Palatino Linotype" w:cs="Times New Roman"/>
          <w:sz w:val="20"/>
          <w:szCs w:val="20"/>
        </w:rPr>
        <w:t>, 4</w:t>
      </w:r>
      <w:r w:rsidR="00850E67" w:rsidRPr="00F60B6F">
        <w:rPr>
          <w:rFonts w:ascii="Palatino Linotype" w:hAnsi="Palatino Linotype" w:cs="Times New Roman"/>
          <w:sz w:val="20"/>
          <w:szCs w:val="20"/>
        </w:rPr>
        <w:t>˚</w:t>
      </w:r>
      <w:r w:rsidRPr="00F60B6F">
        <w:rPr>
          <w:rFonts w:ascii="Palatino Linotype" w:hAnsi="Palatino Linotype" w:cs="Times New Roman"/>
          <w:sz w:val="20"/>
          <w:szCs w:val="20"/>
        </w:rPr>
        <w:t xml:space="preserve">C, for </w:t>
      </w:r>
      <w:r w:rsidR="001A4270" w:rsidRPr="00F60B6F">
        <w:rPr>
          <w:rFonts w:ascii="Palatino Linotype" w:hAnsi="Palatino Linotype" w:cs="Times New Roman"/>
          <w:sz w:val="20"/>
          <w:szCs w:val="20"/>
        </w:rPr>
        <w:t>1</w:t>
      </w:r>
      <w:r w:rsidRPr="00F60B6F">
        <w:rPr>
          <w:rFonts w:ascii="Palatino Linotype" w:hAnsi="Palatino Linotype" w:cs="Times New Roman"/>
          <w:sz w:val="20"/>
          <w:szCs w:val="20"/>
        </w:rPr>
        <w:t>0</w:t>
      </w:r>
      <w:r w:rsidRPr="00850E67">
        <w:rPr>
          <w:rFonts w:ascii="Palatino Linotype" w:hAnsi="Palatino Linotype" w:cs="Times New Roman"/>
          <w:sz w:val="20"/>
          <w:szCs w:val="20"/>
        </w:rPr>
        <w:t xml:space="preserve"> min; and (4) transfer the supernatant into a GC vial with insert; (5) evaporate in a Speedvac at 30°C until dry; (6) add 10</w:t>
      </w:r>
      <w:r w:rsidRPr="00850E67">
        <w:rPr>
          <w:rFonts w:ascii="Palatino Linotype" w:hAnsi="Palatino Linotype"/>
          <w:sz w:val="20"/>
          <w:szCs w:val="20"/>
        </w:rPr>
        <w:t xml:space="preserve"> </w:t>
      </w:r>
      <w:r w:rsidRPr="00850E67">
        <w:rPr>
          <w:rFonts w:ascii="Palatino Linotype" w:hAnsi="Palatino Linotype" w:cs="Times New Roman"/>
          <w:sz w:val="20"/>
          <w:szCs w:val="20"/>
        </w:rPr>
        <w:t xml:space="preserve">µL of </w:t>
      </w:r>
      <w:r w:rsidR="00722920" w:rsidRPr="00850E67">
        <w:rPr>
          <w:rFonts w:ascii="Palatino Linotype" w:hAnsi="Palatino Linotype" w:cs="Times New Roman"/>
          <w:sz w:val="20"/>
          <w:szCs w:val="20"/>
        </w:rPr>
        <w:t>O</w:t>
      </w:r>
      <w:r w:rsidRPr="00850E67">
        <w:rPr>
          <w:rFonts w:ascii="Palatino Linotype" w:hAnsi="Palatino Linotype" w:cs="Times New Roman"/>
          <w:sz w:val="20"/>
          <w:szCs w:val="20"/>
        </w:rPr>
        <w:t xml:space="preserve">-methoxyamine hydrochloride (15 mg/mL) in pyridine and vortex for 5 min; (7) sonicate for 2 min and vortex for 2 min (repeat step a total of three times); (8) incubate at room temperature for 16 h in darkness for the reaction of the methoxymation; (9) add 10 µL of N,O-Bis(trimethylsilyl)trifluoroacetamide (BSTFA) with 1 % trimethylchlorosilane (TMCS) and incubate 1 h at 70 </w:t>
      </w:r>
      <w:r w:rsidR="00850E67">
        <w:rPr>
          <w:rFonts w:ascii="Palatino Linotype" w:hAnsi="Palatino Linotype" w:cs="Times New Roman"/>
          <w:sz w:val="20"/>
          <w:szCs w:val="20"/>
        </w:rPr>
        <w:t>˚</w:t>
      </w:r>
      <w:r w:rsidRPr="00850E67">
        <w:rPr>
          <w:rFonts w:ascii="Palatino Linotype" w:hAnsi="Palatino Linotype" w:cs="Times New Roman"/>
          <w:sz w:val="20"/>
          <w:szCs w:val="20"/>
        </w:rPr>
        <w:t xml:space="preserve">C for the silylation; (10) add 100 µL of 10 ppm C18:0 methyl ester in n-heptane as internal standard, vortex for 2 min and centrifuge at </w:t>
      </w:r>
      <w:r w:rsidRPr="00F60B6F">
        <w:rPr>
          <w:rFonts w:ascii="Palatino Linotype" w:hAnsi="Palatino Linotype" w:cs="Times New Roman"/>
          <w:sz w:val="20"/>
          <w:szCs w:val="20"/>
        </w:rPr>
        <w:t>2500 rpm, 20</w:t>
      </w:r>
      <w:r w:rsidR="00850E67">
        <w:rPr>
          <w:rFonts w:ascii="Palatino Linotype" w:hAnsi="Palatino Linotype" w:cs="Times New Roman"/>
          <w:sz w:val="20"/>
          <w:szCs w:val="20"/>
        </w:rPr>
        <w:t>˚</w:t>
      </w:r>
      <w:r w:rsidRPr="00850E67">
        <w:rPr>
          <w:rFonts w:ascii="Palatino Linotype" w:hAnsi="Palatino Linotype" w:cs="Times New Roman"/>
          <w:sz w:val="20"/>
          <w:szCs w:val="20"/>
        </w:rPr>
        <w:t>C, for 15 min; and (11) transfer into the GC–MS system.</w:t>
      </w:r>
    </w:p>
    <w:p w14:paraId="7B1129D2" w14:textId="784F1D76" w:rsidR="009A7203" w:rsidRPr="00F60B6F" w:rsidRDefault="009A7203" w:rsidP="009A7203">
      <w:pPr>
        <w:jc w:val="both"/>
        <w:rPr>
          <w:rFonts w:ascii="Palatino Linotype" w:hAnsi="Palatino Linotype" w:cs="Times New Roman"/>
          <w:sz w:val="20"/>
          <w:szCs w:val="20"/>
        </w:rPr>
      </w:pPr>
      <w:r w:rsidRPr="00850E67">
        <w:rPr>
          <w:rFonts w:ascii="Palatino Linotype" w:hAnsi="Palatino Linotype" w:cs="Times New Roman"/>
          <w:sz w:val="20"/>
          <w:szCs w:val="20"/>
        </w:rPr>
        <w:t>Plasma sample preparation for</w:t>
      </w:r>
      <w:r w:rsidRPr="00850E67">
        <w:rPr>
          <w:rFonts w:ascii="Palatino Linotype" w:hAnsi="Palatino Linotype"/>
          <w:sz w:val="20"/>
          <w:szCs w:val="20"/>
        </w:rPr>
        <w:t xml:space="preserve"> </w:t>
      </w:r>
      <w:r w:rsidRPr="00850E67">
        <w:rPr>
          <w:rFonts w:ascii="Palatino Linotype" w:hAnsi="Palatino Linotype" w:cs="Times New Roman"/>
          <w:sz w:val="20"/>
          <w:szCs w:val="20"/>
        </w:rPr>
        <w:t xml:space="preserve">capillary electrophoresis–mass spectrometry (CE–MS) entailed the following steps: (1) thaw sample on ice, vortex for 1 min and transfer 100 µL of plasma into an Eppendorf tube already filled with 100 µL of 0.2 M </w:t>
      </w:r>
      <w:bookmarkStart w:id="1" w:name="_Hlk45538547"/>
      <w:r w:rsidRPr="00850E67">
        <w:rPr>
          <w:rFonts w:ascii="Palatino Linotype" w:hAnsi="Palatino Linotype" w:cs="Times New Roman"/>
          <w:sz w:val="20"/>
          <w:szCs w:val="20"/>
        </w:rPr>
        <w:t>formic acid with 5 % acetonitrile and 0.4 mM methionine sulfone as internal standard; (2) vortex for 2 min and transfer to a Millipore filter (</w:t>
      </w:r>
      <w:r w:rsidRPr="00850E67">
        <w:rPr>
          <w:rFonts w:ascii="Palatino Linotype" w:hAnsi="Palatino Linotype"/>
          <w:sz w:val="20"/>
          <w:szCs w:val="20"/>
        </w:rPr>
        <w:t>30 kDa protein cutoff</w:t>
      </w:r>
      <w:r w:rsidRPr="00850E67">
        <w:rPr>
          <w:rFonts w:ascii="Palatino Linotype" w:hAnsi="Palatino Linotype" w:cs="Times New Roman"/>
          <w:sz w:val="20"/>
          <w:szCs w:val="20"/>
        </w:rPr>
        <w:t xml:space="preserve">); (3) centrifuge at </w:t>
      </w:r>
      <w:r w:rsidRPr="00F60B6F">
        <w:rPr>
          <w:rFonts w:ascii="Palatino Linotype" w:hAnsi="Palatino Linotype" w:cs="Times New Roman"/>
          <w:sz w:val="20"/>
          <w:szCs w:val="20"/>
        </w:rPr>
        <w:t>2000 r</w:t>
      </w:r>
      <w:r w:rsidR="001A4270" w:rsidRPr="00F60B6F">
        <w:rPr>
          <w:rFonts w:ascii="Palatino Linotype" w:hAnsi="Palatino Linotype" w:cs="Times New Roman"/>
          <w:sz w:val="20"/>
          <w:szCs w:val="20"/>
        </w:rPr>
        <w:t>pm</w:t>
      </w:r>
      <w:r w:rsidRPr="00F60B6F">
        <w:rPr>
          <w:rFonts w:ascii="Palatino Linotype" w:hAnsi="Palatino Linotype" w:cs="Times New Roman"/>
          <w:sz w:val="20"/>
          <w:szCs w:val="20"/>
        </w:rPr>
        <w:t>, 4</w:t>
      </w:r>
      <w:r w:rsidR="00850E67" w:rsidRPr="00F60B6F">
        <w:rPr>
          <w:rFonts w:ascii="Palatino Linotype" w:hAnsi="Palatino Linotype" w:cs="Times New Roman"/>
          <w:sz w:val="20"/>
          <w:szCs w:val="20"/>
        </w:rPr>
        <w:t>˚</w:t>
      </w:r>
      <w:r w:rsidRPr="00F60B6F">
        <w:rPr>
          <w:rFonts w:ascii="Palatino Linotype" w:hAnsi="Palatino Linotype" w:cs="Times New Roman"/>
          <w:sz w:val="20"/>
          <w:szCs w:val="20"/>
        </w:rPr>
        <w:t xml:space="preserve">C, for 70 min; and (4) transfer the filtrate into a CE vial where the volume is directly injected into the </w:t>
      </w:r>
      <w:bookmarkEnd w:id="1"/>
      <w:r w:rsidRPr="00F60B6F">
        <w:rPr>
          <w:rFonts w:ascii="Palatino Linotype" w:hAnsi="Palatino Linotype" w:cs="Times New Roman"/>
          <w:sz w:val="20"/>
          <w:szCs w:val="20"/>
        </w:rPr>
        <w:t>CE–MS system.</w:t>
      </w:r>
    </w:p>
    <w:p w14:paraId="55618420" w14:textId="76849962" w:rsidR="009A7203" w:rsidRPr="00850E67" w:rsidRDefault="009A7203" w:rsidP="009A7203">
      <w:pPr>
        <w:jc w:val="both"/>
        <w:rPr>
          <w:rFonts w:ascii="Palatino Linotype" w:hAnsi="Palatino Linotype" w:cs="Times New Roman"/>
          <w:sz w:val="20"/>
          <w:szCs w:val="20"/>
        </w:rPr>
      </w:pPr>
      <w:r w:rsidRPr="00F60B6F">
        <w:rPr>
          <w:rFonts w:ascii="Palatino Linotype" w:hAnsi="Palatino Linotype" w:cs="Times New Roman"/>
          <w:sz w:val="20"/>
          <w:szCs w:val="20"/>
        </w:rPr>
        <w:t>Urine samples for LC–MS were thawed on ice and vortexed prior injection into the LC-MS system (without pre-treatment). For CE–MS, sample procedure entailed: (1) thaw on ice and vortex for 1 min and transfer 200 µL into an Eppendorf tube; (2) centrifuge at 13200 rpm,</w:t>
      </w:r>
      <w:r w:rsidRPr="00850E67">
        <w:rPr>
          <w:rFonts w:ascii="Palatino Linotype" w:hAnsi="Palatino Linotype" w:cs="Times New Roman"/>
          <w:sz w:val="20"/>
          <w:szCs w:val="20"/>
        </w:rPr>
        <w:t xml:space="preserve"> 4</w:t>
      </w:r>
      <w:r w:rsidR="00850E67">
        <w:rPr>
          <w:rFonts w:ascii="Palatino Linotype" w:hAnsi="Palatino Linotype" w:cs="Times New Roman"/>
          <w:sz w:val="20"/>
          <w:szCs w:val="20"/>
        </w:rPr>
        <w:t>˚</w:t>
      </w:r>
      <w:r w:rsidRPr="00850E67">
        <w:rPr>
          <w:rFonts w:ascii="Palatino Linotype" w:hAnsi="Palatino Linotype" w:cs="Times New Roman"/>
          <w:sz w:val="20"/>
          <w:szCs w:val="20"/>
        </w:rPr>
        <w:t xml:space="preserve">C, for 20 min; (3) transfer 100 µL of the supernatant into an Eppendorf tube already filled with 400 µL of 0.125 M </w:t>
      </w:r>
      <w:r w:rsidRPr="00850E67">
        <w:rPr>
          <w:rFonts w:ascii="Palatino Linotype" w:hAnsi="Palatino Linotype" w:cs="Times New Roman"/>
          <w:sz w:val="20"/>
          <w:szCs w:val="20"/>
        </w:rPr>
        <w:lastRenderedPageBreak/>
        <w:t xml:space="preserve">formic acid </w:t>
      </w:r>
      <w:r w:rsidRPr="00F60B6F">
        <w:rPr>
          <w:rFonts w:ascii="Palatino Linotype" w:hAnsi="Palatino Linotype" w:cs="Times New Roman"/>
          <w:sz w:val="20"/>
          <w:szCs w:val="20"/>
        </w:rPr>
        <w:t>with 0.25 mM methionine sulfone as internal standard; (4) vortex for 1 min and centrifuge at 13200 rpm, 4</w:t>
      </w:r>
      <w:r w:rsidR="00850E67" w:rsidRPr="00F60B6F">
        <w:rPr>
          <w:rFonts w:ascii="Palatino Linotype" w:hAnsi="Palatino Linotype" w:cs="Times New Roman"/>
          <w:sz w:val="20"/>
          <w:szCs w:val="20"/>
        </w:rPr>
        <w:t>˚</w:t>
      </w:r>
      <w:r w:rsidRPr="00F60B6F">
        <w:rPr>
          <w:rFonts w:ascii="Palatino Linotype" w:hAnsi="Palatino Linotype" w:cs="Times New Roman"/>
          <w:sz w:val="20"/>
          <w:szCs w:val="20"/>
        </w:rPr>
        <w:t xml:space="preserve">C, for </w:t>
      </w:r>
      <w:r w:rsidR="001A4270" w:rsidRPr="00F60B6F">
        <w:rPr>
          <w:rFonts w:ascii="Palatino Linotype" w:hAnsi="Palatino Linotype" w:cs="Times New Roman"/>
          <w:sz w:val="20"/>
          <w:szCs w:val="20"/>
        </w:rPr>
        <w:t>10</w:t>
      </w:r>
      <w:r w:rsidRPr="00F60B6F">
        <w:rPr>
          <w:rFonts w:ascii="Palatino Linotype" w:hAnsi="Palatino Linotype" w:cs="Times New Roman"/>
          <w:sz w:val="20"/>
          <w:szCs w:val="20"/>
        </w:rPr>
        <w:t xml:space="preserve"> min; and</w:t>
      </w:r>
      <w:r w:rsidRPr="00850E67">
        <w:rPr>
          <w:rFonts w:ascii="Palatino Linotype" w:hAnsi="Palatino Linotype" w:cs="Times New Roman"/>
          <w:sz w:val="20"/>
          <w:szCs w:val="20"/>
        </w:rPr>
        <w:t xml:space="preserve"> (5) transfer 200 µL of the supernatant into a CE vial where the volume is directly injected into the CE–MS system.</w:t>
      </w:r>
    </w:p>
    <w:p w14:paraId="538F878B" w14:textId="295DA8D9" w:rsidR="00723224" w:rsidRPr="00850E67" w:rsidRDefault="000A4CC0" w:rsidP="009A7203">
      <w:pPr>
        <w:jc w:val="both"/>
        <w:rPr>
          <w:rFonts w:ascii="Palatino Linotype" w:hAnsi="Palatino Linotype" w:cs="Times New Roman"/>
          <w:sz w:val="20"/>
          <w:szCs w:val="20"/>
        </w:rPr>
      </w:pPr>
      <w:r w:rsidRPr="00850E67">
        <w:rPr>
          <w:rFonts w:ascii="Palatino Linotype" w:hAnsi="Palatino Linotype" w:cs="Times New Roman"/>
          <w:sz w:val="20"/>
          <w:szCs w:val="20"/>
        </w:rPr>
        <w:t>Quality control (QC) samples were independently prepared for each technique</w:t>
      </w:r>
      <w:r w:rsidR="00723224" w:rsidRPr="00850E67">
        <w:rPr>
          <w:rFonts w:ascii="Palatino Linotype" w:hAnsi="Palatino Linotype" w:cs="Times New Roman"/>
          <w:sz w:val="20"/>
          <w:szCs w:val="20"/>
        </w:rPr>
        <w:t xml:space="preserve"> and followed the same procedure as applied for experimental samples. </w:t>
      </w:r>
      <w:r w:rsidR="004B1DCF" w:rsidRPr="00850E67">
        <w:rPr>
          <w:rFonts w:ascii="Palatino Linotype" w:hAnsi="Palatino Linotype" w:cs="Times New Roman"/>
          <w:sz w:val="20"/>
          <w:szCs w:val="20"/>
        </w:rPr>
        <w:t xml:space="preserve">QC samples were always injected at the beginning of each analytical run, followed </w:t>
      </w:r>
      <w:r w:rsidR="00723224" w:rsidRPr="00850E67">
        <w:rPr>
          <w:rFonts w:ascii="Palatino Linotype" w:hAnsi="Palatino Linotype" w:cs="Times New Roman"/>
          <w:sz w:val="20"/>
          <w:szCs w:val="20"/>
        </w:rPr>
        <w:t xml:space="preserve">by samples randomized </w:t>
      </w:r>
      <w:r w:rsidR="003216B5" w:rsidRPr="00850E67">
        <w:rPr>
          <w:rFonts w:ascii="Palatino Linotype" w:hAnsi="Palatino Linotype" w:cs="Times New Roman"/>
          <w:sz w:val="20"/>
          <w:szCs w:val="20"/>
        </w:rPr>
        <w:t>independently</w:t>
      </w:r>
      <w:r w:rsidR="00723224" w:rsidRPr="00850E67">
        <w:rPr>
          <w:rFonts w:ascii="Palatino Linotype" w:hAnsi="Palatino Linotype" w:cs="Times New Roman"/>
          <w:sz w:val="20"/>
          <w:szCs w:val="20"/>
        </w:rPr>
        <w:t xml:space="preserve">. </w:t>
      </w:r>
      <w:r w:rsidR="004B1DCF" w:rsidRPr="00850E67">
        <w:rPr>
          <w:rFonts w:ascii="Palatino Linotype" w:hAnsi="Palatino Linotype" w:cs="Times New Roman"/>
          <w:sz w:val="20"/>
          <w:szCs w:val="20"/>
        </w:rPr>
        <w:t>A QC sample was rerun a</w:t>
      </w:r>
      <w:r w:rsidR="00723224" w:rsidRPr="00850E67">
        <w:rPr>
          <w:rFonts w:ascii="Palatino Linotype" w:hAnsi="Palatino Linotype" w:cs="Times New Roman"/>
          <w:sz w:val="20"/>
          <w:szCs w:val="20"/>
        </w:rPr>
        <w:t>fter each block of 5 samples.</w:t>
      </w:r>
    </w:p>
    <w:p w14:paraId="584F1FC9" w14:textId="77777777" w:rsidR="009A7203" w:rsidRPr="00850E67" w:rsidRDefault="009A7203" w:rsidP="009A7203">
      <w:pPr>
        <w:jc w:val="both"/>
        <w:rPr>
          <w:rFonts w:ascii="Palatino Linotype" w:hAnsi="Palatino Linotype" w:cs="Times New Roman"/>
          <w:i/>
          <w:sz w:val="20"/>
          <w:szCs w:val="20"/>
        </w:rPr>
      </w:pPr>
      <w:r w:rsidRPr="00850E67">
        <w:rPr>
          <w:rFonts w:ascii="Palatino Linotype" w:hAnsi="Palatino Linotype" w:cs="Times New Roman"/>
          <w:i/>
          <w:sz w:val="20"/>
          <w:szCs w:val="20"/>
        </w:rPr>
        <w:t>LC–MS analysis</w:t>
      </w:r>
    </w:p>
    <w:p w14:paraId="68333C0C" w14:textId="71D0E8F1" w:rsidR="008C4340" w:rsidRPr="00850E67" w:rsidRDefault="008C4340" w:rsidP="008C4340">
      <w:pPr>
        <w:jc w:val="both"/>
        <w:rPr>
          <w:rFonts w:ascii="Palatino Linotype" w:hAnsi="Palatino Linotype" w:cs="Times New Roman"/>
          <w:sz w:val="20"/>
          <w:szCs w:val="20"/>
        </w:rPr>
      </w:pPr>
      <w:r w:rsidRPr="00850E67">
        <w:rPr>
          <w:rFonts w:ascii="Palatino Linotype" w:hAnsi="Palatino Linotype" w:cs="Times New Roman"/>
          <w:sz w:val="20"/>
          <w:szCs w:val="20"/>
        </w:rPr>
        <w:t xml:space="preserve">Analyses were performed using a UHPLC system (Agilent 1290 Infinity LC System, Waldbronn, Germany) coupled to a LC-QTOF-MS (6520) analyzer (Agilent Technologies, CA, USA). The UHPLC system consisted of a degasser, a binary pump and an autosampler (maintained at 4 </w:t>
      </w:r>
      <w:r w:rsidR="00850E67">
        <w:rPr>
          <w:rFonts w:ascii="Palatino Linotype" w:hAnsi="Palatino Linotype" w:cs="Times New Roman"/>
          <w:sz w:val="20"/>
          <w:szCs w:val="20"/>
        </w:rPr>
        <w:t>˚</w:t>
      </w:r>
      <w:r w:rsidRPr="00850E67">
        <w:rPr>
          <w:rFonts w:ascii="Palatino Linotype" w:hAnsi="Palatino Linotype" w:cs="Times New Roman"/>
          <w:sz w:val="20"/>
          <w:szCs w:val="20"/>
        </w:rPr>
        <w:t xml:space="preserve">C). For the plasma samples, 10 µL of each sample were injected </w:t>
      </w:r>
      <w:r w:rsidR="009B1A87" w:rsidRPr="00850E67">
        <w:rPr>
          <w:rFonts w:ascii="Palatino Linotype" w:hAnsi="Palatino Linotype" w:cs="Times New Roman"/>
          <w:sz w:val="20"/>
          <w:szCs w:val="20"/>
        </w:rPr>
        <w:t>i</w:t>
      </w:r>
      <w:r w:rsidRPr="00850E67">
        <w:rPr>
          <w:rFonts w:ascii="Palatino Linotype" w:hAnsi="Palatino Linotype" w:cs="Times New Roman"/>
          <w:sz w:val="20"/>
          <w:szCs w:val="20"/>
        </w:rPr>
        <w:t>nto a reverse-phase Discovery® HS C18 (15 cm x 2.1 mm x 3 µm) (Supelco, PA</w:t>
      </w:r>
      <w:r w:rsidR="009B1A87" w:rsidRPr="00850E67">
        <w:rPr>
          <w:rFonts w:ascii="Palatino Linotype" w:hAnsi="Palatino Linotype" w:cs="Times New Roman"/>
          <w:sz w:val="20"/>
          <w:szCs w:val="20"/>
        </w:rPr>
        <w:t>, USA</w:t>
      </w:r>
      <w:r w:rsidRPr="00850E67">
        <w:rPr>
          <w:rFonts w:ascii="Palatino Linotype" w:hAnsi="Palatino Linotype" w:cs="Times New Roman"/>
          <w:sz w:val="20"/>
          <w:szCs w:val="20"/>
        </w:rPr>
        <w:t xml:space="preserve">) maintained at 40 </w:t>
      </w:r>
      <w:r w:rsidR="00850E67">
        <w:rPr>
          <w:rFonts w:ascii="Palatino Linotype" w:hAnsi="Palatino Linotype" w:cs="Times New Roman"/>
          <w:sz w:val="20"/>
          <w:szCs w:val="20"/>
        </w:rPr>
        <w:t>˚</w:t>
      </w:r>
      <w:r w:rsidRPr="00850E67">
        <w:rPr>
          <w:rFonts w:ascii="Palatino Linotype" w:hAnsi="Palatino Linotype" w:cs="Times New Roman"/>
          <w:sz w:val="20"/>
          <w:szCs w:val="20"/>
        </w:rPr>
        <w:t>C. The flow rate was 0.6 mL/min with solvent A composed of water with 0.1% formic acid</w:t>
      </w:r>
      <w:r w:rsidR="00B675AF" w:rsidRPr="00850E67">
        <w:rPr>
          <w:rFonts w:ascii="Palatino Linotype" w:hAnsi="Palatino Linotype" w:cs="Times New Roman"/>
          <w:sz w:val="20"/>
          <w:szCs w:val="20"/>
        </w:rPr>
        <w:t>,</w:t>
      </w:r>
      <w:r w:rsidRPr="00850E67">
        <w:rPr>
          <w:rFonts w:ascii="Palatino Linotype" w:hAnsi="Palatino Linotype" w:cs="Times New Roman"/>
          <w:sz w:val="20"/>
          <w:szCs w:val="20"/>
        </w:rPr>
        <w:t xml:space="preserve"> and solvent B composed of acetonitrile with 0.1% formic acid. The chromatographic gradient started at 25% of solvent B, increased to 95% in min 35, then decreased down to 25% from 35−36 min, and kept at 25% of solvent B from 36−45 min. For urine samples, 5 µL of each sample were injected </w:t>
      </w:r>
      <w:r w:rsidR="00B675AF" w:rsidRPr="00850E67">
        <w:rPr>
          <w:rFonts w:ascii="Palatino Linotype" w:hAnsi="Palatino Linotype" w:cs="Times New Roman"/>
          <w:sz w:val="20"/>
          <w:szCs w:val="20"/>
        </w:rPr>
        <w:t>i</w:t>
      </w:r>
      <w:r w:rsidRPr="00850E67">
        <w:rPr>
          <w:rFonts w:ascii="Palatino Linotype" w:hAnsi="Palatino Linotype" w:cs="Times New Roman"/>
          <w:sz w:val="20"/>
          <w:szCs w:val="20"/>
        </w:rPr>
        <w:t>nto a reverse-phase Ascentis® Express C18 (5 cm x 2.1 mm x 1.7 µm) (Supelco, PA</w:t>
      </w:r>
      <w:r w:rsidR="00B675AF" w:rsidRPr="00850E67">
        <w:rPr>
          <w:rFonts w:ascii="Palatino Linotype" w:hAnsi="Palatino Linotype" w:cs="Times New Roman"/>
          <w:sz w:val="20"/>
          <w:szCs w:val="20"/>
        </w:rPr>
        <w:t>, USA</w:t>
      </w:r>
      <w:r w:rsidRPr="00850E67">
        <w:rPr>
          <w:rFonts w:ascii="Palatino Linotype" w:hAnsi="Palatino Linotype" w:cs="Times New Roman"/>
          <w:sz w:val="20"/>
          <w:szCs w:val="20"/>
        </w:rPr>
        <w:t xml:space="preserve">) maintained at 30 </w:t>
      </w:r>
      <w:r w:rsidR="00850E67">
        <w:rPr>
          <w:rFonts w:ascii="Palatino Linotype" w:hAnsi="Palatino Linotype" w:cs="Times New Roman"/>
          <w:sz w:val="20"/>
          <w:szCs w:val="20"/>
        </w:rPr>
        <w:t>˚</w:t>
      </w:r>
      <w:r w:rsidRPr="00850E67">
        <w:rPr>
          <w:rFonts w:ascii="Palatino Linotype" w:hAnsi="Palatino Linotype" w:cs="Times New Roman"/>
          <w:sz w:val="20"/>
          <w:szCs w:val="20"/>
        </w:rPr>
        <w:t>C. The flow rate was 0.5 mL/min with solvent A composed of water with 0.1% formic acid and</w:t>
      </w:r>
      <w:r w:rsidR="00B675AF" w:rsidRPr="00850E67">
        <w:rPr>
          <w:rFonts w:ascii="Palatino Linotype" w:hAnsi="Palatino Linotype" w:cs="Times New Roman"/>
          <w:sz w:val="20"/>
          <w:szCs w:val="20"/>
        </w:rPr>
        <w:t>,</w:t>
      </w:r>
      <w:r w:rsidRPr="00850E67">
        <w:rPr>
          <w:rFonts w:ascii="Palatino Linotype" w:hAnsi="Palatino Linotype" w:cs="Times New Roman"/>
          <w:sz w:val="20"/>
          <w:szCs w:val="20"/>
        </w:rPr>
        <w:t xml:space="preserve"> solvent B composed of acetonitrile with 0.1% formic acid. The chromatographic gradient started at 0% of solvent B, was kept for 0.5 min</w:t>
      </w:r>
      <w:r w:rsidR="00B675AF" w:rsidRPr="00850E67">
        <w:rPr>
          <w:rFonts w:ascii="Palatino Linotype" w:hAnsi="Palatino Linotype" w:cs="Times New Roman"/>
          <w:sz w:val="20"/>
          <w:szCs w:val="20"/>
        </w:rPr>
        <w:t>,</w:t>
      </w:r>
      <w:r w:rsidRPr="00850E67">
        <w:rPr>
          <w:rFonts w:ascii="Palatino Linotype" w:hAnsi="Palatino Linotype" w:cs="Times New Roman"/>
          <w:sz w:val="20"/>
          <w:szCs w:val="20"/>
        </w:rPr>
        <w:t xml:space="preserve"> was increased to 9% in min 2, 20% in min 5, 45% in min 8 and 100% in min 9.5. This </w:t>
      </w:r>
      <w:r w:rsidR="00B675AF" w:rsidRPr="00850E67">
        <w:rPr>
          <w:rFonts w:ascii="Palatino Linotype" w:hAnsi="Palatino Linotype" w:cs="Times New Roman"/>
          <w:sz w:val="20"/>
          <w:szCs w:val="20"/>
        </w:rPr>
        <w:t>condition</w:t>
      </w:r>
      <w:r w:rsidRPr="00850E67">
        <w:rPr>
          <w:rFonts w:ascii="Palatino Linotype" w:hAnsi="Palatino Linotype" w:cs="Times New Roman"/>
          <w:sz w:val="20"/>
          <w:szCs w:val="20"/>
        </w:rPr>
        <w:t xml:space="preserve"> was kept until min 11, decreased to 0% in min 11.5 and maintained between min 11.5 and min 20. </w:t>
      </w:r>
      <w:r w:rsidR="00987767" w:rsidRPr="00850E67">
        <w:rPr>
          <w:rFonts w:ascii="Palatino Linotype" w:hAnsi="Palatino Linotype" w:cs="Times New Roman"/>
          <w:sz w:val="20"/>
          <w:szCs w:val="20"/>
        </w:rPr>
        <w:t>C</w:t>
      </w:r>
      <w:r w:rsidRPr="00850E67">
        <w:rPr>
          <w:rFonts w:ascii="Palatino Linotype" w:hAnsi="Palatino Linotype" w:cs="Times New Roman"/>
          <w:sz w:val="20"/>
          <w:szCs w:val="20"/>
        </w:rPr>
        <w:t xml:space="preserve">apillary voltage was set to 3000 V for both ionization modes; the drying gas flow rate was 10.5 L/min at 330 </w:t>
      </w:r>
      <w:r w:rsidR="00850E67">
        <w:rPr>
          <w:rFonts w:ascii="Palatino Linotype" w:hAnsi="Palatino Linotype" w:cs="Times New Roman"/>
          <w:sz w:val="20"/>
          <w:szCs w:val="20"/>
        </w:rPr>
        <w:t>˚</w:t>
      </w:r>
      <w:r w:rsidRPr="00850E67">
        <w:rPr>
          <w:rFonts w:ascii="Palatino Linotype" w:hAnsi="Palatino Linotype" w:cs="Times New Roman"/>
          <w:sz w:val="20"/>
          <w:szCs w:val="20"/>
        </w:rPr>
        <w:t>C and gas nebulizer 52 psig</w:t>
      </w:r>
      <w:r w:rsidR="00C276F1" w:rsidRPr="00850E67">
        <w:rPr>
          <w:rFonts w:ascii="Palatino Linotype" w:hAnsi="Palatino Linotype" w:cs="Times New Roman"/>
          <w:sz w:val="20"/>
          <w:szCs w:val="20"/>
        </w:rPr>
        <w:t>;</w:t>
      </w:r>
      <w:r w:rsidRPr="00850E67">
        <w:rPr>
          <w:rFonts w:ascii="Palatino Linotype" w:hAnsi="Palatino Linotype" w:cs="Times New Roman"/>
          <w:sz w:val="20"/>
          <w:szCs w:val="20"/>
        </w:rPr>
        <w:t xml:space="preserve"> fragmentor voltage </w:t>
      </w:r>
      <w:r w:rsidR="00C276F1" w:rsidRPr="00850E67">
        <w:rPr>
          <w:rFonts w:ascii="Palatino Linotype" w:hAnsi="Palatino Linotype" w:cs="Times New Roman"/>
          <w:sz w:val="20"/>
          <w:szCs w:val="20"/>
        </w:rPr>
        <w:t xml:space="preserve">was </w:t>
      </w:r>
      <w:r w:rsidRPr="00850E67">
        <w:rPr>
          <w:rFonts w:ascii="Palatino Linotype" w:hAnsi="Palatino Linotype" w:cs="Times New Roman"/>
          <w:sz w:val="20"/>
          <w:szCs w:val="20"/>
        </w:rPr>
        <w:t>175 V for positive and negative ionization mode, skimmer</w:t>
      </w:r>
      <w:r w:rsidR="00C276F1" w:rsidRPr="00850E67">
        <w:rPr>
          <w:rFonts w:ascii="Palatino Linotype" w:hAnsi="Palatino Linotype" w:cs="Times New Roman"/>
          <w:sz w:val="20"/>
          <w:szCs w:val="20"/>
        </w:rPr>
        <w:t xml:space="preserve"> voltage was set at</w:t>
      </w:r>
      <w:r w:rsidRPr="00850E67">
        <w:rPr>
          <w:rFonts w:ascii="Palatino Linotype" w:hAnsi="Palatino Linotype" w:cs="Times New Roman"/>
          <w:sz w:val="20"/>
          <w:szCs w:val="20"/>
        </w:rPr>
        <w:t xml:space="preserve"> 65 V and octopole radio frequency voltage (OCT RF Vpp) </w:t>
      </w:r>
      <w:r w:rsidR="00C276F1" w:rsidRPr="00850E67">
        <w:rPr>
          <w:rFonts w:ascii="Palatino Linotype" w:hAnsi="Palatino Linotype" w:cs="Times New Roman"/>
          <w:sz w:val="20"/>
          <w:szCs w:val="20"/>
        </w:rPr>
        <w:t xml:space="preserve">at </w:t>
      </w:r>
      <w:r w:rsidRPr="00850E67">
        <w:rPr>
          <w:rFonts w:ascii="Palatino Linotype" w:hAnsi="Palatino Linotype" w:cs="Times New Roman"/>
          <w:sz w:val="20"/>
          <w:szCs w:val="20"/>
        </w:rPr>
        <w:t xml:space="preserve">750 V. </w:t>
      </w:r>
      <w:r w:rsidR="00C276F1" w:rsidRPr="00850E67">
        <w:rPr>
          <w:rFonts w:ascii="Palatino Linotype" w:hAnsi="Palatino Linotype" w:cs="Times New Roman"/>
          <w:sz w:val="20"/>
          <w:szCs w:val="20"/>
        </w:rPr>
        <w:t>Data were collected</w:t>
      </w:r>
      <w:r w:rsidR="00C276F1" w:rsidRPr="00850E67">
        <w:rPr>
          <w:rFonts w:ascii="Palatino Linotype" w:hAnsi="Palatino Linotype"/>
          <w:sz w:val="20"/>
          <w:szCs w:val="20"/>
        </w:rPr>
        <w:t xml:space="preserve"> in full scan mode, from 50 to 1000 m/z for positive ionization mode and from 50 to 1100  for negative mode, </w:t>
      </w:r>
      <w:r w:rsidRPr="00850E67">
        <w:rPr>
          <w:rFonts w:ascii="Palatino Linotype" w:hAnsi="Palatino Linotype" w:cs="Times New Roman"/>
          <w:sz w:val="20"/>
          <w:szCs w:val="20"/>
        </w:rPr>
        <w:t xml:space="preserve">at a rate of 1.2 scan/s. Accurate mass measurements were obtained by means of an automated calibrant delivery system using a Dual Agilent Jet Stream Electrospray ionization (Dual AJS ESI) source that continuously introduces a calibrant solution containing reference masses at </w:t>
      </w:r>
      <w:r w:rsidR="00FC1EFA" w:rsidRPr="00850E67">
        <w:rPr>
          <w:rFonts w:ascii="Palatino Linotype" w:hAnsi="Palatino Linotype" w:cs="Times New Roman"/>
          <w:sz w:val="20"/>
          <w:szCs w:val="20"/>
        </w:rPr>
        <w:t xml:space="preserve">m/z </w:t>
      </w:r>
      <w:r w:rsidRPr="00850E67">
        <w:rPr>
          <w:rFonts w:ascii="Palatino Linotype" w:hAnsi="Palatino Linotype" w:cs="Times New Roman"/>
          <w:sz w:val="20"/>
          <w:szCs w:val="20"/>
        </w:rPr>
        <w:t>121.0509 and 922.0098</w:t>
      </w:r>
      <w:r w:rsidR="00C276F1" w:rsidRPr="00850E67">
        <w:rPr>
          <w:rFonts w:ascii="Palatino Linotype" w:hAnsi="Palatino Linotype" w:cs="Times New Roman"/>
          <w:sz w:val="20"/>
          <w:szCs w:val="20"/>
        </w:rPr>
        <w:t xml:space="preserve"> </w:t>
      </w:r>
      <w:r w:rsidRPr="00850E67">
        <w:rPr>
          <w:rFonts w:ascii="Palatino Linotype" w:hAnsi="Palatino Linotype" w:cs="Times New Roman"/>
          <w:sz w:val="20"/>
          <w:szCs w:val="20"/>
        </w:rPr>
        <w:t xml:space="preserve">for positive and </w:t>
      </w:r>
      <w:r w:rsidR="00FC1EFA" w:rsidRPr="00850E67">
        <w:rPr>
          <w:rFonts w:ascii="Palatino Linotype" w:hAnsi="Palatino Linotype" w:cs="Times New Roman"/>
          <w:sz w:val="20"/>
          <w:szCs w:val="20"/>
        </w:rPr>
        <w:t xml:space="preserve">m/z </w:t>
      </w:r>
      <w:r w:rsidRPr="00850E67">
        <w:rPr>
          <w:rFonts w:ascii="Palatino Linotype" w:hAnsi="Palatino Linotype" w:cs="Times New Roman"/>
          <w:sz w:val="20"/>
          <w:szCs w:val="20"/>
        </w:rPr>
        <w:t xml:space="preserve">68.9957, 119.0363, 966.0007 for negative ionization mode. Data acquisition was performed with MassHunter Workstation Data </w:t>
      </w:r>
      <w:r w:rsidR="00877B9D" w:rsidRPr="00850E67">
        <w:rPr>
          <w:rFonts w:ascii="Palatino Linotype" w:hAnsi="Palatino Linotype" w:cs="Times New Roman"/>
          <w:sz w:val="20"/>
          <w:szCs w:val="20"/>
        </w:rPr>
        <w:t>s</w:t>
      </w:r>
      <w:r w:rsidR="00030BFF" w:rsidRPr="00850E67">
        <w:rPr>
          <w:rFonts w:ascii="Palatino Linotype" w:hAnsi="Palatino Linotype" w:cs="Times New Roman"/>
          <w:sz w:val="20"/>
          <w:szCs w:val="20"/>
        </w:rPr>
        <w:t>oftware</w:t>
      </w:r>
      <w:r w:rsidRPr="00850E67">
        <w:rPr>
          <w:rFonts w:ascii="Palatino Linotype" w:hAnsi="Palatino Linotype" w:cs="Times New Roman"/>
          <w:sz w:val="20"/>
          <w:szCs w:val="20"/>
        </w:rPr>
        <w:t xml:space="preserve"> B.06.01 (Agilent Technologies</w:t>
      </w:r>
      <w:r w:rsidR="00C276F1" w:rsidRPr="00850E67">
        <w:rPr>
          <w:rFonts w:ascii="Palatino Linotype" w:hAnsi="Palatino Linotype" w:cs="Times New Roman"/>
          <w:sz w:val="20"/>
          <w:szCs w:val="20"/>
        </w:rPr>
        <w:t xml:space="preserve">, </w:t>
      </w:r>
      <w:bookmarkStart w:id="2" w:name="_Hlk45620759"/>
      <w:r w:rsidR="00C276F1" w:rsidRPr="00850E67">
        <w:rPr>
          <w:rFonts w:ascii="Palatino Linotype" w:hAnsi="Palatino Linotype" w:cs="Times New Roman"/>
          <w:sz w:val="20"/>
          <w:szCs w:val="20"/>
        </w:rPr>
        <w:t>CA, USA</w:t>
      </w:r>
      <w:bookmarkEnd w:id="2"/>
      <w:r w:rsidRPr="00850E67">
        <w:rPr>
          <w:rFonts w:ascii="Palatino Linotype" w:hAnsi="Palatino Linotype" w:cs="Times New Roman"/>
          <w:sz w:val="20"/>
          <w:szCs w:val="20"/>
        </w:rPr>
        <w:t xml:space="preserve">). </w:t>
      </w:r>
    </w:p>
    <w:p w14:paraId="3D56E4AE" w14:textId="005A9BA6" w:rsidR="009A7203" w:rsidRPr="00850E67" w:rsidRDefault="009A7203" w:rsidP="009A7203">
      <w:pPr>
        <w:jc w:val="both"/>
        <w:rPr>
          <w:rFonts w:ascii="Palatino Linotype" w:hAnsi="Palatino Linotype" w:cs="Times New Roman"/>
          <w:i/>
          <w:sz w:val="20"/>
          <w:szCs w:val="20"/>
        </w:rPr>
      </w:pPr>
      <w:r w:rsidRPr="00850E67">
        <w:rPr>
          <w:rFonts w:ascii="Palatino Linotype" w:hAnsi="Palatino Linotype" w:cs="Times New Roman"/>
          <w:i/>
          <w:sz w:val="20"/>
          <w:szCs w:val="20"/>
        </w:rPr>
        <w:t>GC–MS analysis</w:t>
      </w:r>
    </w:p>
    <w:p w14:paraId="2F11EAA6" w14:textId="1A1DB5EE" w:rsidR="00ED18D6" w:rsidRPr="00850E67" w:rsidRDefault="00CF0476" w:rsidP="009A7203">
      <w:pPr>
        <w:jc w:val="both"/>
        <w:rPr>
          <w:rFonts w:ascii="Palatino Linotype" w:hAnsi="Palatino Linotype"/>
          <w:sz w:val="20"/>
          <w:szCs w:val="20"/>
        </w:rPr>
      </w:pPr>
      <w:r w:rsidRPr="00850E67">
        <w:rPr>
          <w:rFonts w:ascii="Palatino Linotype" w:hAnsi="Palatino Linotype"/>
          <w:sz w:val="20"/>
          <w:szCs w:val="20"/>
        </w:rPr>
        <w:t>Analyses were performed using a 7890A from Agilent Technologies (Waldbronn, Germany) coupled to an inert mass spectrometer with triple-Axis detector 5975C (Agilent Technologies</w:t>
      </w:r>
      <w:r w:rsidR="00362EB0" w:rsidRPr="00850E67">
        <w:rPr>
          <w:rFonts w:ascii="Palatino Linotype" w:hAnsi="Palatino Linotype"/>
          <w:sz w:val="20"/>
          <w:szCs w:val="20"/>
        </w:rPr>
        <w:t>, CA, USA</w:t>
      </w:r>
      <w:r w:rsidRPr="00850E67">
        <w:rPr>
          <w:rFonts w:ascii="Palatino Linotype" w:hAnsi="Palatino Linotype"/>
          <w:sz w:val="20"/>
          <w:szCs w:val="20"/>
        </w:rPr>
        <w:t>). The injection volume of derivatized samples was set at 2 µL using an autosampler 7693 (Agilent Technologies</w:t>
      </w:r>
      <w:r w:rsidR="00087C31" w:rsidRPr="00850E67">
        <w:rPr>
          <w:rFonts w:ascii="Palatino Linotype" w:hAnsi="Palatino Linotype"/>
          <w:sz w:val="20"/>
          <w:szCs w:val="20"/>
        </w:rPr>
        <w:t>, CA, USA</w:t>
      </w:r>
      <w:r w:rsidRPr="00850E67">
        <w:rPr>
          <w:rFonts w:ascii="Palatino Linotype" w:hAnsi="Palatino Linotype"/>
          <w:sz w:val="20"/>
          <w:szCs w:val="20"/>
        </w:rPr>
        <w:t xml:space="preserve">). Samples were automatically injected in split mode, with a </w:t>
      </w:r>
      <w:r w:rsidR="00087C31" w:rsidRPr="00850E67">
        <w:rPr>
          <w:rFonts w:ascii="Palatino Linotype" w:hAnsi="Palatino Linotype"/>
          <w:sz w:val="20"/>
          <w:szCs w:val="20"/>
        </w:rPr>
        <w:t xml:space="preserve">1:10 </w:t>
      </w:r>
      <w:r w:rsidRPr="00850E67">
        <w:rPr>
          <w:rFonts w:ascii="Palatino Linotype" w:hAnsi="Palatino Linotype"/>
          <w:sz w:val="20"/>
          <w:szCs w:val="20"/>
        </w:rPr>
        <w:t xml:space="preserve">split ratio, into an Agilent deactivated glass wool split liner. Separation of the compounds was achieved using a 10m </w:t>
      </w:r>
      <w:r w:rsidR="00087C31" w:rsidRPr="00850E67">
        <w:rPr>
          <w:rFonts w:ascii="Palatino Linotype" w:hAnsi="Palatino Linotype"/>
          <w:sz w:val="20"/>
          <w:szCs w:val="20"/>
        </w:rPr>
        <w:t xml:space="preserve">Agilent </w:t>
      </w:r>
      <w:r w:rsidRPr="00850E67">
        <w:rPr>
          <w:rFonts w:ascii="Palatino Linotype" w:hAnsi="Palatino Linotype"/>
          <w:sz w:val="20"/>
          <w:szCs w:val="20"/>
        </w:rPr>
        <w:t>J&amp;W pre-column integrated with a 122–5332G column: DB5-MS 30 m length, 0.25 mm i.d. and 0.25 m film consisting of 95% dimethyl/5% diphenyl polysiloxane (Agilent Technologies</w:t>
      </w:r>
      <w:r w:rsidR="00087C31" w:rsidRPr="00850E67">
        <w:rPr>
          <w:rFonts w:ascii="Palatino Linotype" w:hAnsi="Palatino Linotype"/>
          <w:sz w:val="20"/>
          <w:szCs w:val="20"/>
        </w:rPr>
        <w:t>, CA, USA</w:t>
      </w:r>
      <w:r w:rsidRPr="00850E67">
        <w:rPr>
          <w:rFonts w:ascii="Palatino Linotype" w:hAnsi="Palatino Linotype"/>
          <w:sz w:val="20"/>
          <w:szCs w:val="20"/>
        </w:rPr>
        <w:t xml:space="preserve">). Helium was used as the carrier gas with a constant flow rate of 1 mL/min. The </w:t>
      </w:r>
      <w:r w:rsidR="00087C31" w:rsidRPr="00850E67">
        <w:rPr>
          <w:rFonts w:ascii="Palatino Linotype" w:hAnsi="Palatino Linotype"/>
          <w:sz w:val="20"/>
          <w:szCs w:val="20"/>
        </w:rPr>
        <w:t xml:space="preserve">lock of the </w:t>
      </w:r>
      <w:r w:rsidRPr="00850E67">
        <w:rPr>
          <w:rFonts w:ascii="Palatino Linotype" w:hAnsi="Palatino Linotype"/>
          <w:sz w:val="20"/>
          <w:szCs w:val="20"/>
        </w:rPr>
        <w:t>retention time</w:t>
      </w:r>
      <w:r w:rsidR="00087C31" w:rsidRPr="00850E67">
        <w:rPr>
          <w:rFonts w:ascii="Palatino Linotype" w:hAnsi="Palatino Linotype"/>
          <w:sz w:val="20"/>
          <w:szCs w:val="20"/>
        </w:rPr>
        <w:t xml:space="preserve"> </w:t>
      </w:r>
      <w:r w:rsidRPr="00850E67">
        <w:rPr>
          <w:rFonts w:ascii="Palatino Linotype" w:hAnsi="Palatino Linotype"/>
          <w:sz w:val="20"/>
          <w:szCs w:val="20"/>
        </w:rPr>
        <w:t>(RTL) relative to the internal standard (methyl stearate C18) peak at 19.66 min was performed. The chromatographic separation consisted o</w:t>
      </w:r>
      <w:r w:rsidR="00087C31" w:rsidRPr="00850E67">
        <w:rPr>
          <w:rFonts w:ascii="Palatino Linotype" w:hAnsi="Palatino Linotype"/>
          <w:sz w:val="20"/>
          <w:szCs w:val="20"/>
        </w:rPr>
        <w:t>f</w:t>
      </w:r>
      <w:r w:rsidRPr="00850E67">
        <w:rPr>
          <w:rFonts w:ascii="Palatino Linotype" w:hAnsi="Palatino Linotype"/>
          <w:sz w:val="20"/>
          <w:szCs w:val="20"/>
        </w:rPr>
        <w:t xml:space="preserve"> temperature gradient for the column oven programmed at 60 </w:t>
      </w:r>
      <w:r w:rsidR="00850E67">
        <w:rPr>
          <w:rFonts w:ascii="Palatino Linotype" w:hAnsi="Palatino Linotype"/>
          <w:sz w:val="20"/>
          <w:szCs w:val="20"/>
        </w:rPr>
        <w:t>˚</w:t>
      </w:r>
      <w:r w:rsidRPr="00850E67">
        <w:rPr>
          <w:rFonts w:ascii="Palatino Linotype" w:hAnsi="Palatino Linotype"/>
          <w:sz w:val="20"/>
          <w:szCs w:val="20"/>
        </w:rPr>
        <w:t>C (maintained for 1min), then raised by 10</w:t>
      </w:r>
      <w:r w:rsidR="00850E67">
        <w:rPr>
          <w:rFonts w:ascii="Palatino Linotype" w:hAnsi="Palatino Linotype"/>
          <w:sz w:val="20"/>
          <w:szCs w:val="20"/>
        </w:rPr>
        <w:t xml:space="preserve"> </w:t>
      </w:r>
      <w:r w:rsidR="00850E67">
        <w:rPr>
          <w:rFonts w:ascii="Palatino Linotype" w:hAnsi="Palatino Linotype"/>
          <w:sz w:val="20"/>
          <w:szCs w:val="20"/>
        </w:rPr>
        <w:lastRenderedPageBreak/>
        <w:t>˚</w:t>
      </w:r>
      <w:r w:rsidRPr="00850E67">
        <w:rPr>
          <w:rFonts w:ascii="Palatino Linotype" w:hAnsi="Palatino Linotype"/>
          <w:sz w:val="20"/>
          <w:szCs w:val="20"/>
        </w:rPr>
        <w:t xml:space="preserve">C/min until it reached 325 </w:t>
      </w:r>
      <w:r w:rsidR="00850E67">
        <w:rPr>
          <w:rFonts w:ascii="Palatino Linotype" w:hAnsi="Palatino Linotype"/>
          <w:sz w:val="20"/>
          <w:szCs w:val="20"/>
        </w:rPr>
        <w:t>˚</w:t>
      </w:r>
      <w:r w:rsidRPr="00850E67">
        <w:rPr>
          <w:rFonts w:ascii="Palatino Linotype" w:hAnsi="Palatino Linotype"/>
          <w:sz w:val="20"/>
          <w:szCs w:val="20"/>
        </w:rPr>
        <w:t>C, and held at th</w:t>
      </w:r>
      <w:r w:rsidR="00FB7580" w:rsidRPr="00850E67">
        <w:rPr>
          <w:rFonts w:ascii="Palatino Linotype" w:hAnsi="Palatino Linotype"/>
          <w:sz w:val="20"/>
          <w:szCs w:val="20"/>
        </w:rPr>
        <w:t>at</w:t>
      </w:r>
      <w:r w:rsidRPr="00850E67">
        <w:rPr>
          <w:rFonts w:ascii="Palatino Linotype" w:hAnsi="Palatino Linotype"/>
          <w:sz w:val="20"/>
          <w:szCs w:val="20"/>
        </w:rPr>
        <w:t xml:space="preserve"> temperature for 10 min before cooling down. The</w:t>
      </w:r>
      <w:r w:rsidR="000176EB" w:rsidRPr="00850E67">
        <w:rPr>
          <w:rFonts w:ascii="Palatino Linotype" w:hAnsi="Palatino Linotype"/>
          <w:sz w:val="20"/>
          <w:szCs w:val="20"/>
        </w:rPr>
        <w:t xml:space="preserve"> temperatures of the</w:t>
      </w:r>
      <w:r w:rsidRPr="00850E67">
        <w:rPr>
          <w:rFonts w:ascii="Palatino Linotype" w:hAnsi="Palatino Linotype"/>
          <w:sz w:val="20"/>
          <w:szCs w:val="20"/>
        </w:rPr>
        <w:t xml:space="preserve"> injector and the transfer line were set at 250 </w:t>
      </w:r>
      <w:r w:rsidR="00850E67">
        <w:rPr>
          <w:rFonts w:ascii="Palatino Linotype" w:hAnsi="Palatino Linotype"/>
          <w:sz w:val="20"/>
          <w:szCs w:val="20"/>
        </w:rPr>
        <w:t>˚</w:t>
      </w:r>
      <w:r w:rsidRPr="00850E67">
        <w:rPr>
          <w:rFonts w:ascii="Palatino Linotype" w:hAnsi="Palatino Linotype"/>
          <w:sz w:val="20"/>
          <w:szCs w:val="20"/>
        </w:rPr>
        <w:t xml:space="preserve">C and 280 </w:t>
      </w:r>
      <w:r w:rsidR="00850E67">
        <w:rPr>
          <w:rFonts w:ascii="Palatino Linotype" w:hAnsi="Palatino Linotype"/>
          <w:sz w:val="20"/>
          <w:szCs w:val="20"/>
        </w:rPr>
        <w:t>˚</w:t>
      </w:r>
      <w:r w:rsidRPr="00850E67">
        <w:rPr>
          <w:rFonts w:ascii="Palatino Linotype" w:hAnsi="Palatino Linotype"/>
          <w:sz w:val="20"/>
          <w:szCs w:val="20"/>
        </w:rPr>
        <w:t xml:space="preserve">C, respectively. MS system: the electron impact ionization operating parameters were set as follows: filament </w:t>
      </w:r>
      <w:r w:rsidRPr="00850E67">
        <w:rPr>
          <w:rFonts w:ascii="Palatino Linotype" w:hAnsi="Palatino Linotype" w:cs="Times New Roman"/>
          <w:sz w:val="20"/>
          <w:szCs w:val="20"/>
        </w:rPr>
        <w:t xml:space="preserve">source temperature, 230 </w:t>
      </w:r>
      <w:r w:rsidR="00850E67">
        <w:rPr>
          <w:rFonts w:ascii="Palatino Linotype" w:hAnsi="Palatino Linotype" w:cs="Times New Roman"/>
          <w:sz w:val="20"/>
          <w:szCs w:val="20"/>
        </w:rPr>
        <w:t>˚</w:t>
      </w:r>
      <w:r w:rsidRPr="00850E67">
        <w:rPr>
          <w:rFonts w:ascii="Palatino Linotype" w:hAnsi="Palatino Linotype" w:cs="Times New Roman"/>
          <w:sz w:val="20"/>
          <w:szCs w:val="20"/>
        </w:rPr>
        <w:t>C; electron ionization energy, 70 eV. Mass spectra acquisition range was set at 50–600 m/z at a scan rate of 2 spectra/s. For retention index</w:t>
      </w:r>
      <w:r w:rsidR="009255ED" w:rsidRPr="00850E67">
        <w:rPr>
          <w:rFonts w:ascii="Palatino Linotype" w:hAnsi="Palatino Linotype" w:cs="Times New Roman"/>
          <w:sz w:val="20"/>
          <w:szCs w:val="20"/>
        </w:rPr>
        <w:t xml:space="preserve"> (RI)</w:t>
      </w:r>
      <w:r w:rsidRPr="00850E67">
        <w:rPr>
          <w:rFonts w:ascii="Palatino Linotype" w:hAnsi="Palatino Linotype" w:cs="Times New Roman"/>
          <w:sz w:val="20"/>
          <w:szCs w:val="20"/>
        </w:rPr>
        <w:t xml:space="preserve"> determination, a mixture of n-alkanes (C8-C40) and a mixture of FAMEs (C8:0-C22:1, n9) were run prior to the samples. Data were acquired using the Agilent MSD ChemStation </w:t>
      </w:r>
      <w:r w:rsidR="00877B9D" w:rsidRPr="00850E67">
        <w:rPr>
          <w:rFonts w:ascii="Palatino Linotype" w:hAnsi="Palatino Linotype" w:cs="Times New Roman"/>
          <w:sz w:val="20"/>
          <w:szCs w:val="20"/>
        </w:rPr>
        <w:t>s</w:t>
      </w:r>
      <w:r w:rsidRPr="00850E67">
        <w:rPr>
          <w:rFonts w:ascii="Palatino Linotype" w:hAnsi="Palatino Linotype" w:cs="Times New Roman"/>
          <w:sz w:val="20"/>
          <w:szCs w:val="20"/>
        </w:rPr>
        <w:t>oftware B.06.02 (Agilent Technologies</w:t>
      </w:r>
      <w:r w:rsidR="00087C31" w:rsidRPr="00850E67">
        <w:rPr>
          <w:rFonts w:ascii="Palatino Linotype" w:hAnsi="Palatino Linotype" w:cs="Times New Roman"/>
          <w:sz w:val="20"/>
          <w:szCs w:val="20"/>
        </w:rPr>
        <w:t xml:space="preserve"> CA, USA</w:t>
      </w:r>
      <w:r w:rsidRPr="00850E67">
        <w:rPr>
          <w:rFonts w:ascii="Palatino Linotype" w:hAnsi="Palatino Linotype" w:cs="Times New Roman"/>
          <w:sz w:val="20"/>
          <w:szCs w:val="20"/>
        </w:rPr>
        <w:t>).</w:t>
      </w:r>
    </w:p>
    <w:p w14:paraId="498FABC5" w14:textId="7CC8CD56" w:rsidR="009A7203" w:rsidRPr="00850E67" w:rsidRDefault="009A7203" w:rsidP="009A7203">
      <w:pPr>
        <w:jc w:val="both"/>
        <w:rPr>
          <w:rFonts w:ascii="Palatino Linotype" w:hAnsi="Palatino Linotype" w:cs="Times New Roman"/>
          <w:i/>
          <w:sz w:val="20"/>
          <w:szCs w:val="20"/>
        </w:rPr>
      </w:pPr>
      <w:r w:rsidRPr="00850E67">
        <w:rPr>
          <w:rFonts w:ascii="Palatino Linotype" w:hAnsi="Palatino Linotype" w:cs="Times New Roman"/>
          <w:i/>
          <w:sz w:val="20"/>
          <w:szCs w:val="20"/>
        </w:rPr>
        <w:t>CE–MS analysis</w:t>
      </w:r>
    </w:p>
    <w:p w14:paraId="3E7A5E3E" w14:textId="3F683F82" w:rsidR="002E6F34" w:rsidRPr="00850E67" w:rsidRDefault="001004C7" w:rsidP="009A7203">
      <w:pPr>
        <w:jc w:val="both"/>
        <w:rPr>
          <w:rFonts w:ascii="Palatino Linotype" w:hAnsi="Palatino Linotype" w:cs="Times New Roman"/>
          <w:sz w:val="20"/>
          <w:szCs w:val="20"/>
        </w:rPr>
      </w:pPr>
      <w:r w:rsidRPr="00850E67">
        <w:rPr>
          <w:rFonts w:ascii="Palatino Linotype" w:hAnsi="Palatino Linotype" w:cs="Times New Roman"/>
          <w:sz w:val="20"/>
          <w:szCs w:val="20"/>
        </w:rPr>
        <w:t xml:space="preserve">Analyses were performed on a 7100 CE system (Agilent Technologies, CA, USA) coupled to a 6224 accurate mass TOF MS (Agilent Technologies CA, USA), equipped with an electrospray ionization (ESI) source. The separation was performed in a capillary with an inner diameter of 50 µm and a total length of 100 cm. Before each </w:t>
      </w:r>
      <w:r w:rsidR="00FC1EFA" w:rsidRPr="00850E67">
        <w:rPr>
          <w:rFonts w:ascii="Palatino Linotype" w:hAnsi="Palatino Linotype" w:cs="Times New Roman"/>
          <w:sz w:val="20"/>
          <w:szCs w:val="20"/>
        </w:rPr>
        <w:t>analysis</w:t>
      </w:r>
      <w:r w:rsidRPr="00850E67">
        <w:rPr>
          <w:rFonts w:ascii="Palatino Linotype" w:hAnsi="Palatino Linotype" w:cs="Times New Roman"/>
          <w:sz w:val="20"/>
          <w:szCs w:val="20"/>
        </w:rPr>
        <w:t>, the capillary was conditioned with background electrolyte (BGE) (0.8 M formic acid solution in 10% methanol (v/v)) for 5 min at 950 mbar. Sample injections were performed for 50 s at 50 mbar. After the injection of each sample</w:t>
      </w:r>
      <w:r w:rsidR="00FC1EFA" w:rsidRPr="00850E67">
        <w:rPr>
          <w:rFonts w:ascii="Palatino Linotype" w:hAnsi="Palatino Linotype" w:cs="Times New Roman"/>
          <w:sz w:val="20"/>
          <w:szCs w:val="20"/>
        </w:rPr>
        <w:t>,</w:t>
      </w:r>
      <w:r w:rsidRPr="00850E67">
        <w:rPr>
          <w:rFonts w:ascii="Palatino Linotype" w:hAnsi="Palatino Linotype" w:cs="Times New Roman"/>
          <w:sz w:val="20"/>
          <w:szCs w:val="20"/>
        </w:rPr>
        <w:t xml:space="preserve"> a plug of BGE was injected at 100 mbar pressure during 20 s to improve repeatability.</w:t>
      </w:r>
      <w:r w:rsidR="00CF0F11" w:rsidRPr="00850E67">
        <w:rPr>
          <w:rFonts w:ascii="Palatino Linotype" w:hAnsi="Palatino Linotype" w:cs="Times New Roman"/>
          <w:sz w:val="20"/>
          <w:szCs w:val="20"/>
        </w:rPr>
        <w:t xml:space="preserve"> </w:t>
      </w:r>
      <w:r w:rsidR="00FC1EFA" w:rsidRPr="00850E67">
        <w:rPr>
          <w:rFonts w:ascii="Palatino Linotype" w:hAnsi="Palatino Linotype" w:cs="Times New Roman"/>
          <w:sz w:val="20"/>
          <w:szCs w:val="20"/>
        </w:rPr>
        <w:t>S</w:t>
      </w:r>
      <w:r w:rsidRPr="00850E67">
        <w:rPr>
          <w:rFonts w:ascii="Palatino Linotype" w:hAnsi="Palatino Linotype" w:cs="Times New Roman"/>
          <w:sz w:val="20"/>
          <w:szCs w:val="20"/>
        </w:rPr>
        <w:t xml:space="preserve">eparation was performed at 30 kV with a constant pressure of 25 mbar applied from the inlet at 20 </w:t>
      </w:r>
      <w:r w:rsidR="00850E67">
        <w:rPr>
          <w:rFonts w:ascii="Palatino Linotype" w:hAnsi="Palatino Linotype" w:cs="Times New Roman"/>
          <w:sz w:val="20"/>
          <w:szCs w:val="20"/>
        </w:rPr>
        <w:t>˚</w:t>
      </w:r>
      <w:r w:rsidRPr="00850E67">
        <w:rPr>
          <w:rFonts w:ascii="Palatino Linotype" w:hAnsi="Palatino Linotype" w:cs="Times New Roman"/>
          <w:sz w:val="20"/>
          <w:szCs w:val="20"/>
        </w:rPr>
        <w:t xml:space="preserve">C. </w:t>
      </w:r>
      <w:r w:rsidR="00FC1EFA" w:rsidRPr="00850E67">
        <w:rPr>
          <w:rFonts w:ascii="Palatino Linotype" w:hAnsi="Palatino Linotype" w:cs="Times New Roman"/>
          <w:sz w:val="20"/>
          <w:szCs w:val="20"/>
        </w:rPr>
        <w:t>A</w:t>
      </w:r>
      <w:r w:rsidRPr="00850E67">
        <w:rPr>
          <w:rFonts w:ascii="Palatino Linotype" w:hAnsi="Palatino Linotype" w:cs="Times New Roman"/>
          <w:sz w:val="20"/>
          <w:szCs w:val="20"/>
        </w:rPr>
        <w:t xml:space="preserve">nalysis time was 40 min. Data were acquired in positive, full scan MS mode, within the range 74–1000 </w:t>
      </w:r>
      <w:r w:rsidR="00FC1EFA" w:rsidRPr="00850E67">
        <w:rPr>
          <w:rFonts w:ascii="Palatino Linotype" w:hAnsi="Palatino Linotype" w:cs="Times New Roman"/>
          <w:sz w:val="20"/>
          <w:szCs w:val="20"/>
        </w:rPr>
        <w:t xml:space="preserve">m/z </w:t>
      </w:r>
      <w:r w:rsidRPr="00850E67">
        <w:rPr>
          <w:rFonts w:ascii="Palatino Linotype" w:hAnsi="Palatino Linotype" w:cs="Times New Roman"/>
          <w:sz w:val="20"/>
          <w:szCs w:val="20"/>
        </w:rPr>
        <w:t xml:space="preserve">at a rate of 1.0 scan/s. Other parameters for the MS were: fragmentor 125 V, skimmer 65 V, octopole 750 V, drying gas temperature 200 </w:t>
      </w:r>
      <w:r w:rsidR="00850E67">
        <w:rPr>
          <w:rFonts w:ascii="Palatino Linotype" w:hAnsi="Palatino Linotype" w:cs="Times New Roman"/>
          <w:sz w:val="20"/>
          <w:szCs w:val="20"/>
        </w:rPr>
        <w:t>˚</w:t>
      </w:r>
      <w:r w:rsidRPr="00850E67">
        <w:rPr>
          <w:rFonts w:ascii="Palatino Linotype" w:hAnsi="Palatino Linotype" w:cs="Times New Roman"/>
          <w:sz w:val="20"/>
          <w:szCs w:val="20"/>
        </w:rPr>
        <w:t xml:space="preserve">C, flow rate 10 L/min and capillary voltage 3500 V. The sheath liquid used for the detection consisted of 50% methanol, 50% ultrapure water, </w:t>
      </w:r>
      <w:r w:rsidR="00FC1EFA" w:rsidRPr="00850E67">
        <w:rPr>
          <w:rFonts w:ascii="Palatino Linotype" w:hAnsi="Palatino Linotype" w:cs="Times New Roman"/>
          <w:sz w:val="20"/>
          <w:szCs w:val="20"/>
        </w:rPr>
        <w:t xml:space="preserve">1 mM </w:t>
      </w:r>
      <w:r w:rsidRPr="00850E67">
        <w:rPr>
          <w:rFonts w:ascii="Palatino Linotype" w:hAnsi="Palatino Linotype" w:cs="Times New Roman"/>
          <w:sz w:val="20"/>
          <w:szCs w:val="20"/>
        </w:rPr>
        <w:t xml:space="preserve">formic acid and two reference masses (purine: </w:t>
      </w:r>
      <w:r w:rsidR="00877B9D" w:rsidRPr="00850E67">
        <w:rPr>
          <w:rFonts w:ascii="Palatino Linotype" w:hAnsi="Palatino Linotype" w:cs="Times New Roman"/>
          <w:sz w:val="20"/>
          <w:szCs w:val="20"/>
        </w:rPr>
        <w:t xml:space="preserve">m/z </w:t>
      </w:r>
      <w:r w:rsidRPr="00850E67">
        <w:rPr>
          <w:rFonts w:ascii="Palatino Linotype" w:hAnsi="Palatino Linotype" w:cs="Times New Roman"/>
          <w:sz w:val="20"/>
          <w:szCs w:val="20"/>
        </w:rPr>
        <w:t xml:space="preserve">121.0509 and HO0921: </w:t>
      </w:r>
      <w:r w:rsidR="00877B9D" w:rsidRPr="00850E67">
        <w:rPr>
          <w:rFonts w:ascii="Palatino Linotype" w:hAnsi="Palatino Linotype" w:cs="Times New Roman"/>
          <w:sz w:val="20"/>
          <w:szCs w:val="20"/>
        </w:rPr>
        <w:t xml:space="preserve">m/z </w:t>
      </w:r>
      <w:r w:rsidRPr="00850E67">
        <w:rPr>
          <w:rFonts w:ascii="Palatino Linotype" w:hAnsi="Palatino Linotype" w:cs="Times New Roman"/>
          <w:sz w:val="20"/>
          <w:szCs w:val="20"/>
        </w:rPr>
        <w:t xml:space="preserve">922.0098) at a flow rate of 0.6 mL/min (1:100 split). Data acquisition was performed with ChemStation software B.06.01 (Agilent Technologies Santa Clara, CA, USA) and </w:t>
      </w:r>
      <w:r w:rsidR="004202A2" w:rsidRPr="00850E67">
        <w:rPr>
          <w:rFonts w:ascii="Palatino Linotype" w:hAnsi="Palatino Linotype" w:cs="Times New Roman"/>
          <w:sz w:val="20"/>
          <w:szCs w:val="20"/>
        </w:rPr>
        <w:t xml:space="preserve">MassHunter </w:t>
      </w:r>
      <w:r w:rsidRPr="00850E67">
        <w:rPr>
          <w:rFonts w:ascii="Palatino Linotype" w:hAnsi="Palatino Linotype" w:cs="Times New Roman"/>
          <w:sz w:val="20"/>
          <w:szCs w:val="20"/>
        </w:rPr>
        <w:t xml:space="preserve">Workstation Data </w:t>
      </w:r>
      <w:r w:rsidR="00877B9D" w:rsidRPr="00850E67">
        <w:rPr>
          <w:rFonts w:ascii="Palatino Linotype" w:hAnsi="Palatino Linotype" w:cs="Times New Roman"/>
          <w:sz w:val="20"/>
          <w:szCs w:val="20"/>
        </w:rPr>
        <w:t>software</w:t>
      </w:r>
      <w:r w:rsidRPr="00850E67">
        <w:rPr>
          <w:rFonts w:ascii="Palatino Linotype" w:hAnsi="Palatino Linotype" w:cs="Times New Roman"/>
          <w:sz w:val="20"/>
          <w:szCs w:val="20"/>
        </w:rPr>
        <w:t xml:space="preserve"> B.06.01 (Agilent Technologies</w:t>
      </w:r>
      <w:r w:rsidR="00877B9D" w:rsidRPr="00850E67">
        <w:rPr>
          <w:rFonts w:ascii="Palatino Linotype" w:hAnsi="Palatino Linotype" w:cs="Times New Roman"/>
          <w:sz w:val="20"/>
          <w:szCs w:val="20"/>
        </w:rPr>
        <w:t>, CA, USA</w:t>
      </w:r>
      <w:r w:rsidRPr="00850E67">
        <w:rPr>
          <w:rFonts w:ascii="Palatino Linotype" w:hAnsi="Palatino Linotype" w:cs="Times New Roman"/>
          <w:sz w:val="20"/>
          <w:szCs w:val="20"/>
        </w:rPr>
        <w:t>) controlled the MS performance.</w:t>
      </w:r>
    </w:p>
    <w:p w14:paraId="27BD8620" w14:textId="3E762004" w:rsidR="009A7203" w:rsidRPr="00850E67" w:rsidRDefault="009A7203" w:rsidP="009A7203">
      <w:pPr>
        <w:jc w:val="both"/>
        <w:rPr>
          <w:rFonts w:ascii="Palatino Linotype" w:hAnsi="Palatino Linotype" w:cs="Times New Roman"/>
          <w:i/>
          <w:sz w:val="20"/>
          <w:szCs w:val="20"/>
        </w:rPr>
      </w:pPr>
      <w:r w:rsidRPr="00850E67">
        <w:rPr>
          <w:rFonts w:ascii="Palatino Linotype" w:hAnsi="Palatino Linotype" w:cs="Times New Roman"/>
          <w:i/>
          <w:sz w:val="20"/>
          <w:szCs w:val="20"/>
        </w:rPr>
        <w:t>Data treatment</w:t>
      </w:r>
    </w:p>
    <w:p w14:paraId="4468A865" w14:textId="1FA8C5EE" w:rsidR="00BA6679" w:rsidRPr="00850E67" w:rsidRDefault="00D2448D" w:rsidP="00BA6679">
      <w:pPr>
        <w:jc w:val="both"/>
        <w:rPr>
          <w:rFonts w:ascii="Palatino Linotype" w:hAnsi="Palatino Linotype" w:cs="Times New Roman"/>
          <w:sz w:val="20"/>
          <w:szCs w:val="20"/>
        </w:rPr>
      </w:pPr>
      <w:r w:rsidRPr="00850E67">
        <w:rPr>
          <w:rFonts w:ascii="Palatino Linotype" w:hAnsi="Palatino Linotype" w:cs="Times New Roman"/>
          <w:sz w:val="20"/>
          <w:szCs w:val="20"/>
        </w:rPr>
        <w:t xml:space="preserve">All data obtained after LC–MS or CE–MS analysis were treated in the same way. Before reprocessing, an initial qualitative analysis was performed to check all the electropherograms/chromatograms in order to detect possible outliers due to instrumental errors. Raw data acquired were processed to provide structured data in an appropriate format for data analysis. Using the Batch Molecular Feature Extraction (MFE) tool in </w:t>
      </w:r>
      <w:r w:rsidR="004202A2" w:rsidRPr="00850E67">
        <w:rPr>
          <w:rFonts w:ascii="Palatino Linotype" w:hAnsi="Palatino Linotype" w:cs="Times New Roman"/>
          <w:sz w:val="20"/>
          <w:szCs w:val="20"/>
        </w:rPr>
        <w:t xml:space="preserve">MassHunter </w:t>
      </w:r>
      <w:r w:rsidRPr="00850E67">
        <w:rPr>
          <w:rFonts w:ascii="Palatino Linotype" w:hAnsi="Palatino Linotype" w:cs="Times New Roman"/>
          <w:sz w:val="20"/>
          <w:szCs w:val="20"/>
        </w:rPr>
        <w:t xml:space="preserve">Profinder software B.08.00 (Agilent Technologies CA, USA), data collected by CE–MS and LC–MS were cleaned from background noise and unrelated ions. The algorithm of the MFE tool groups ions by isotopic distribution, charge-state envelope and/or presence of adducts and/or loss of neutral molecule and dimers to generate a list of all the possible components (features). The possibility of neutral loss of water was also included in each case. Each compound was described by mass, migration time (MT) (CE–MS) or retention time (RT) (LC–MS), and abundance. Data were filtered based on their quality assurance, whereby variables were retained if they were present in at least 80% of the QCs or absent in QCs, present in 80% of one of the two groups and present with a QC relative standard deviation (RSD) below 30%. </w:t>
      </w:r>
      <w:r w:rsidR="00BA6679" w:rsidRPr="00850E67">
        <w:rPr>
          <w:rFonts w:ascii="Palatino Linotype" w:hAnsi="Palatino Linotype"/>
          <w:sz w:val="20"/>
          <w:szCs w:val="20"/>
        </w:rPr>
        <w:t>For the data obtained in GC</w:t>
      </w:r>
      <w:r w:rsidR="00BA6679" w:rsidRPr="00850E67">
        <w:rPr>
          <w:rFonts w:ascii="Palatino Linotype" w:hAnsi="Palatino Linotype" w:cs="Times New Roman"/>
          <w:sz w:val="20"/>
          <w:szCs w:val="20"/>
        </w:rPr>
        <w:t>–</w:t>
      </w:r>
      <w:r w:rsidR="00BA6679" w:rsidRPr="00850E67">
        <w:rPr>
          <w:rFonts w:ascii="Palatino Linotype" w:hAnsi="Palatino Linotype"/>
          <w:sz w:val="20"/>
          <w:szCs w:val="20"/>
        </w:rPr>
        <w:t xml:space="preserve">MS, </w:t>
      </w:r>
      <w:r w:rsidR="00BA6679" w:rsidRPr="00850E67">
        <w:rPr>
          <w:rFonts w:ascii="Palatino Linotype" w:hAnsi="Palatino Linotype" w:cs="Times New Roman"/>
          <w:sz w:val="20"/>
          <w:szCs w:val="20"/>
        </w:rPr>
        <w:t>the total ion chromatograms (TICs) obtained after the analysis were inspected based on both quality of the chromatograms and internal standard signals. The files were exported to Agilent MassHunter Unknowns Analysis software version B.08.00 for the deconvolution process and the metabolite identification of raw data collected by GC–MS analysis.</w:t>
      </w:r>
      <w:r w:rsidR="00C83268" w:rsidRPr="00850E67">
        <w:rPr>
          <w:rFonts w:ascii="Palatino Linotype" w:hAnsi="Palatino Linotype" w:cs="Times New Roman"/>
          <w:sz w:val="20"/>
          <w:szCs w:val="20"/>
        </w:rPr>
        <w:t xml:space="preserve"> </w:t>
      </w:r>
      <w:r w:rsidR="00BA6679" w:rsidRPr="00850E67">
        <w:rPr>
          <w:rFonts w:ascii="Palatino Linotype" w:hAnsi="Palatino Linotype" w:cs="Times New Roman"/>
          <w:sz w:val="20"/>
          <w:szCs w:val="20"/>
        </w:rPr>
        <w:t xml:space="preserve">Agilent MassHunter Quantitative Analysis software version B.08.00 was used for the assignment of the target and qualifiers ions </w:t>
      </w:r>
      <w:r w:rsidR="00BA6679" w:rsidRPr="00850E67">
        <w:rPr>
          <w:rFonts w:ascii="Palatino Linotype" w:hAnsi="Palatino Linotype" w:cs="Times New Roman"/>
          <w:sz w:val="20"/>
          <w:szCs w:val="20"/>
        </w:rPr>
        <w:lastRenderedPageBreak/>
        <w:t>and peak area integration. Prior to the statistical analysis, sample areas were normalized by the internal standard abundance in order to minimize the response variability coming from the instrument. Data were filtered by the coefficient of signal variation (CV) in QCs, considering as acceptable values lower than 30%.</w:t>
      </w:r>
    </w:p>
    <w:p w14:paraId="7E1105C3" w14:textId="77777777" w:rsidR="00BA6679" w:rsidRPr="00850E67" w:rsidRDefault="00BA6679" w:rsidP="00BA6679">
      <w:pPr>
        <w:jc w:val="both"/>
        <w:rPr>
          <w:rFonts w:ascii="Palatino Linotype" w:hAnsi="Palatino Linotype" w:cs="Times New Roman"/>
          <w:sz w:val="20"/>
          <w:szCs w:val="20"/>
        </w:rPr>
      </w:pPr>
      <w:r w:rsidRPr="00850E67">
        <w:rPr>
          <w:rFonts w:ascii="Palatino Linotype" w:hAnsi="Palatino Linotype" w:cs="Times New Roman"/>
          <w:sz w:val="20"/>
          <w:szCs w:val="20"/>
        </w:rPr>
        <w:t>The features or metabolites from the two samples were compared by their absolutes differences in abundance, and that was expressed as the logarithm base 2 of the fold change (log2FC). Those features or metabolites having a log2FC ≥ 1.5 were considered significant and were selected.</w:t>
      </w:r>
    </w:p>
    <w:p w14:paraId="54B715FD" w14:textId="788BA69F" w:rsidR="00D2448D" w:rsidRPr="00850E67" w:rsidRDefault="003D1015" w:rsidP="009A7203">
      <w:pPr>
        <w:jc w:val="both"/>
        <w:rPr>
          <w:rFonts w:ascii="Palatino Linotype" w:hAnsi="Palatino Linotype" w:cs="Times New Roman"/>
          <w:i/>
          <w:sz w:val="20"/>
          <w:szCs w:val="20"/>
        </w:rPr>
      </w:pPr>
      <w:r w:rsidRPr="00850E67">
        <w:rPr>
          <w:rFonts w:ascii="Palatino Linotype" w:hAnsi="Palatino Linotype" w:cs="Times New Roman"/>
          <w:i/>
          <w:sz w:val="20"/>
          <w:szCs w:val="20"/>
        </w:rPr>
        <w:t>Metabolite identification</w:t>
      </w:r>
    </w:p>
    <w:p w14:paraId="32CE3893" w14:textId="54D1CF7A" w:rsidR="00E2787B" w:rsidRPr="00850E67" w:rsidRDefault="005164FE" w:rsidP="00E2787B">
      <w:pPr>
        <w:jc w:val="both"/>
        <w:rPr>
          <w:rFonts w:ascii="Palatino Linotype" w:hAnsi="Palatino Linotype" w:cs="Times New Roman"/>
          <w:color w:val="FF0000"/>
          <w:sz w:val="20"/>
          <w:szCs w:val="20"/>
        </w:rPr>
      </w:pPr>
      <w:r w:rsidRPr="00850E67">
        <w:rPr>
          <w:rFonts w:ascii="Palatino Linotype" w:hAnsi="Palatino Linotype" w:cs="Times New Roman"/>
          <w:sz w:val="20"/>
          <w:szCs w:val="20"/>
        </w:rPr>
        <w:t>Compound identification</w:t>
      </w:r>
      <w:r w:rsidR="003D1015" w:rsidRPr="00850E67">
        <w:rPr>
          <w:rFonts w:ascii="Palatino Linotype" w:hAnsi="Palatino Linotype" w:cs="Times New Roman"/>
          <w:sz w:val="20"/>
          <w:szCs w:val="20"/>
        </w:rPr>
        <w:t xml:space="preserve"> </w:t>
      </w:r>
      <w:r w:rsidRPr="00850E67">
        <w:rPr>
          <w:rFonts w:ascii="Palatino Linotype" w:hAnsi="Palatino Linotype" w:cs="Times New Roman"/>
          <w:sz w:val="20"/>
          <w:szCs w:val="20"/>
        </w:rPr>
        <w:t xml:space="preserve">from LC–MS and CE–MS data </w:t>
      </w:r>
      <w:r w:rsidR="003D1015" w:rsidRPr="00850E67">
        <w:rPr>
          <w:rFonts w:ascii="Palatino Linotype" w:hAnsi="Palatino Linotype" w:cs="Times New Roman"/>
          <w:sz w:val="20"/>
          <w:szCs w:val="20"/>
        </w:rPr>
        <w:t xml:space="preserve">that were found to be significant in class separation was performed by </w:t>
      </w:r>
      <w:r w:rsidR="00AD5630" w:rsidRPr="00850E67">
        <w:rPr>
          <w:rFonts w:ascii="Palatino Linotype" w:hAnsi="Palatino Linotype" w:cs="Times New Roman"/>
          <w:sz w:val="20"/>
          <w:szCs w:val="20"/>
        </w:rPr>
        <w:t>matching</w:t>
      </w:r>
      <w:r w:rsidR="003D1015" w:rsidRPr="00850E67">
        <w:rPr>
          <w:rFonts w:ascii="Palatino Linotype" w:hAnsi="Palatino Linotype" w:cs="Times New Roman"/>
          <w:sz w:val="20"/>
          <w:szCs w:val="20"/>
        </w:rPr>
        <w:t xml:space="preserve"> each accurate m/z </w:t>
      </w:r>
      <w:r w:rsidR="00AD5630" w:rsidRPr="00850E67">
        <w:rPr>
          <w:rFonts w:ascii="Palatino Linotype" w:hAnsi="Palatino Linotype" w:cs="Times New Roman"/>
          <w:sz w:val="20"/>
          <w:szCs w:val="20"/>
        </w:rPr>
        <w:t>measurements of detected chromatographic peaks to leading</w:t>
      </w:r>
      <w:r w:rsidR="003D1015" w:rsidRPr="00850E67">
        <w:rPr>
          <w:rFonts w:ascii="Palatino Linotype" w:hAnsi="Palatino Linotype" w:cs="Times New Roman"/>
          <w:sz w:val="20"/>
          <w:szCs w:val="20"/>
        </w:rPr>
        <w:t xml:space="preserve"> online </w:t>
      </w:r>
      <w:r w:rsidR="00AD5630" w:rsidRPr="00850E67">
        <w:rPr>
          <w:rFonts w:ascii="Palatino Linotype" w:hAnsi="Palatino Linotype" w:cs="Times New Roman"/>
          <w:sz w:val="20"/>
          <w:szCs w:val="20"/>
        </w:rPr>
        <w:t xml:space="preserve">MS </w:t>
      </w:r>
      <w:r w:rsidR="003D1015" w:rsidRPr="00850E67">
        <w:rPr>
          <w:rFonts w:ascii="Palatino Linotype" w:hAnsi="Palatino Linotype" w:cs="Times New Roman"/>
          <w:sz w:val="20"/>
          <w:szCs w:val="20"/>
        </w:rPr>
        <w:t xml:space="preserve">databases as </w:t>
      </w:r>
      <w:r w:rsidR="00AD38EA" w:rsidRPr="00850E67">
        <w:rPr>
          <w:rFonts w:ascii="Palatino Linotype" w:hAnsi="Palatino Linotype" w:cs="Times New Roman"/>
          <w:sz w:val="20"/>
          <w:szCs w:val="20"/>
        </w:rPr>
        <w:t xml:space="preserve">METLIN </w:t>
      </w:r>
      <w:r w:rsidR="00AD5630" w:rsidRPr="00850E67">
        <w:rPr>
          <w:rFonts w:ascii="Palatino Linotype" w:hAnsi="Palatino Linotype" w:cs="Times New Roman"/>
          <w:sz w:val="20"/>
          <w:szCs w:val="20"/>
        </w:rPr>
        <w:t>(http://metlin.scripps.edu), K</w:t>
      </w:r>
      <w:r w:rsidR="00AD38EA" w:rsidRPr="00850E67">
        <w:rPr>
          <w:rFonts w:ascii="Palatino Linotype" w:hAnsi="Palatino Linotype" w:cs="Times New Roman"/>
          <w:sz w:val="20"/>
          <w:szCs w:val="20"/>
        </w:rPr>
        <w:t>EGG</w:t>
      </w:r>
      <w:r w:rsidR="00AD5630" w:rsidRPr="00850E67">
        <w:rPr>
          <w:rFonts w:ascii="Palatino Linotype" w:hAnsi="Palatino Linotype" w:cs="Times New Roman"/>
          <w:sz w:val="20"/>
          <w:szCs w:val="20"/>
        </w:rPr>
        <w:t xml:space="preserve"> (https://www.genome.jp/kegg/genome.html), HMDB (http://hmdb.ca) and </w:t>
      </w:r>
      <w:bookmarkStart w:id="3" w:name="_Hlk45711941"/>
      <w:r w:rsidR="00AD38EA" w:rsidRPr="00850E67">
        <w:rPr>
          <w:rFonts w:ascii="Palatino Linotype" w:hAnsi="Palatino Linotype" w:cs="Times New Roman"/>
          <w:sz w:val="20"/>
          <w:szCs w:val="20"/>
        </w:rPr>
        <w:t xml:space="preserve">LIPID MAPS </w:t>
      </w:r>
      <w:bookmarkEnd w:id="3"/>
      <w:r w:rsidR="00AD5630" w:rsidRPr="00850E67">
        <w:rPr>
          <w:rFonts w:ascii="Palatino Linotype" w:hAnsi="Palatino Linotype" w:cs="Times New Roman"/>
          <w:sz w:val="20"/>
          <w:szCs w:val="20"/>
        </w:rPr>
        <w:t>(http://www.lipidmaps.org/) using the CEU Mass Mediator tool (</w:t>
      </w:r>
      <w:r w:rsidR="00CF0F11" w:rsidRPr="00850E67">
        <w:rPr>
          <w:rFonts w:ascii="Palatino Linotype" w:hAnsi="Palatino Linotype" w:cs="Times New Roman"/>
          <w:sz w:val="20"/>
          <w:szCs w:val="20"/>
        </w:rPr>
        <w:t>http://ceumass.eps.uspceu.es</w:t>
      </w:r>
      <w:r w:rsidR="003D1015" w:rsidRPr="00850E67">
        <w:rPr>
          <w:rFonts w:ascii="Palatino Linotype" w:hAnsi="Palatino Linotype" w:cs="Times New Roman"/>
          <w:sz w:val="20"/>
          <w:szCs w:val="20"/>
        </w:rPr>
        <w:t>).</w:t>
      </w:r>
      <w:r w:rsidR="00CF0F11" w:rsidRPr="00850E67">
        <w:rPr>
          <w:rFonts w:ascii="Palatino Linotype" w:hAnsi="Palatino Linotype" w:cs="Times New Roman"/>
          <w:sz w:val="20"/>
          <w:szCs w:val="20"/>
        </w:rPr>
        <w:t xml:space="preserve"> </w:t>
      </w:r>
      <w:r w:rsidR="003D1015" w:rsidRPr="00850E67">
        <w:rPr>
          <w:rFonts w:ascii="Palatino Linotype" w:hAnsi="Palatino Linotype" w:cs="Times New Roman"/>
          <w:sz w:val="20"/>
          <w:szCs w:val="20"/>
        </w:rPr>
        <w:t>The identification of m/z was performed considering each of the possible adducts as described for MFE.</w:t>
      </w:r>
      <w:r w:rsidR="001C546E" w:rsidRPr="00850E67">
        <w:rPr>
          <w:rFonts w:ascii="Palatino Linotype" w:hAnsi="Palatino Linotype" w:cs="Times New Roman"/>
          <w:sz w:val="20"/>
          <w:szCs w:val="20"/>
        </w:rPr>
        <w:t xml:space="preserve"> F</w:t>
      </w:r>
      <w:r w:rsidR="003D1015" w:rsidRPr="00850E67">
        <w:rPr>
          <w:rFonts w:ascii="Palatino Linotype" w:hAnsi="Palatino Linotype" w:cs="Times New Roman"/>
          <w:sz w:val="20"/>
          <w:szCs w:val="20"/>
        </w:rPr>
        <w:t>or CE–MS</w:t>
      </w:r>
      <w:r w:rsidR="001C546E" w:rsidRPr="00850E67">
        <w:rPr>
          <w:rFonts w:ascii="Palatino Linotype" w:hAnsi="Palatino Linotype" w:cs="Times New Roman"/>
          <w:sz w:val="20"/>
          <w:szCs w:val="20"/>
        </w:rPr>
        <w:t xml:space="preserve"> data</w:t>
      </w:r>
      <w:r w:rsidR="003D1015" w:rsidRPr="00850E67">
        <w:rPr>
          <w:rFonts w:ascii="Palatino Linotype" w:hAnsi="Palatino Linotype" w:cs="Times New Roman"/>
          <w:sz w:val="20"/>
          <w:szCs w:val="20"/>
        </w:rPr>
        <w:t xml:space="preserve">, compound identification was confirmed by comparing masses and </w:t>
      </w:r>
      <w:r w:rsidR="00FF5DD0" w:rsidRPr="00850E67">
        <w:rPr>
          <w:rFonts w:ascii="Palatino Linotype" w:hAnsi="Palatino Linotype" w:cs="Times New Roman"/>
          <w:sz w:val="20"/>
          <w:szCs w:val="20"/>
        </w:rPr>
        <w:t xml:space="preserve">relative </w:t>
      </w:r>
      <w:r w:rsidR="003D1015" w:rsidRPr="00850E67">
        <w:rPr>
          <w:rFonts w:ascii="Palatino Linotype" w:hAnsi="Palatino Linotype" w:cs="Times New Roman"/>
          <w:sz w:val="20"/>
          <w:szCs w:val="20"/>
        </w:rPr>
        <w:t>migration times to those of an in-house standards</w:t>
      </w:r>
      <w:r w:rsidR="00FF5DD0" w:rsidRPr="00850E67">
        <w:rPr>
          <w:rFonts w:ascii="Palatino Linotype" w:hAnsi="Palatino Linotype" w:cs="Times New Roman"/>
          <w:sz w:val="20"/>
          <w:szCs w:val="20"/>
        </w:rPr>
        <w:t xml:space="preserve"> library</w:t>
      </w:r>
      <w:r w:rsidR="003D1015" w:rsidRPr="00850E67">
        <w:rPr>
          <w:rFonts w:ascii="Palatino Linotype" w:hAnsi="Palatino Linotype" w:cs="Times New Roman"/>
          <w:sz w:val="20"/>
          <w:szCs w:val="20"/>
        </w:rPr>
        <w:t xml:space="preserve">. </w:t>
      </w:r>
      <w:r w:rsidR="001C546E" w:rsidRPr="00850E67">
        <w:rPr>
          <w:rFonts w:ascii="Palatino Linotype" w:hAnsi="Palatino Linotype" w:cs="Times New Roman"/>
          <w:sz w:val="20"/>
          <w:szCs w:val="20"/>
        </w:rPr>
        <w:t>For</w:t>
      </w:r>
      <w:r w:rsidR="003D1015" w:rsidRPr="00850E67">
        <w:rPr>
          <w:rFonts w:ascii="Palatino Linotype" w:hAnsi="Palatino Linotype" w:cs="Times New Roman"/>
          <w:sz w:val="20"/>
          <w:szCs w:val="20"/>
        </w:rPr>
        <w:t xml:space="preserve"> LC–MS</w:t>
      </w:r>
      <w:r w:rsidR="001C546E" w:rsidRPr="00850E67">
        <w:rPr>
          <w:rFonts w:ascii="Palatino Linotype" w:hAnsi="Palatino Linotype" w:cs="Times New Roman"/>
          <w:sz w:val="20"/>
          <w:szCs w:val="20"/>
        </w:rPr>
        <w:t xml:space="preserve"> data</w:t>
      </w:r>
      <w:r w:rsidR="003D1015" w:rsidRPr="00850E67">
        <w:rPr>
          <w:rFonts w:ascii="Palatino Linotype" w:hAnsi="Palatino Linotype" w:cs="Times New Roman"/>
          <w:sz w:val="20"/>
          <w:szCs w:val="20"/>
        </w:rPr>
        <w:t xml:space="preserve">, the samples containing higher concentrations of </w:t>
      </w:r>
      <w:r w:rsidR="00FF0E45" w:rsidRPr="00850E67">
        <w:rPr>
          <w:rFonts w:ascii="Palatino Linotype" w:hAnsi="Palatino Linotype" w:cs="Times New Roman"/>
          <w:sz w:val="20"/>
          <w:szCs w:val="20"/>
        </w:rPr>
        <w:t>the</w:t>
      </w:r>
      <w:r w:rsidR="003D1015" w:rsidRPr="00850E67">
        <w:rPr>
          <w:rFonts w:ascii="Palatino Linotype" w:hAnsi="Palatino Linotype" w:cs="Times New Roman"/>
          <w:sz w:val="20"/>
          <w:szCs w:val="20"/>
        </w:rPr>
        <w:t xml:space="preserve"> compounds of interest were re-analyzed in MS/MS mode selecting the precursor ion according to the MFE process and recording all the product ions produced at different collision energies. At least five of the most abundant product ions were selected</w:t>
      </w:r>
      <w:r w:rsidR="00FF0E45" w:rsidRPr="00850E67">
        <w:rPr>
          <w:rFonts w:ascii="Palatino Linotype" w:hAnsi="Palatino Linotype" w:cs="Times New Roman"/>
          <w:sz w:val="20"/>
          <w:szCs w:val="20"/>
        </w:rPr>
        <w:t>,</w:t>
      </w:r>
      <w:r w:rsidR="003D1015" w:rsidRPr="00850E67">
        <w:rPr>
          <w:rFonts w:ascii="Palatino Linotype" w:hAnsi="Palatino Linotype" w:cs="Times New Roman"/>
          <w:sz w:val="20"/>
          <w:szCs w:val="20"/>
        </w:rPr>
        <w:t xml:space="preserve"> when possible</w:t>
      </w:r>
      <w:r w:rsidR="00FF0E45" w:rsidRPr="00850E67">
        <w:rPr>
          <w:rFonts w:ascii="Palatino Linotype" w:hAnsi="Palatino Linotype" w:cs="Times New Roman"/>
          <w:sz w:val="20"/>
          <w:szCs w:val="20"/>
        </w:rPr>
        <w:t>,</w:t>
      </w:r>
      <w:r w:rsidR="003D1015" w:rsidRPr="00850E67">
        <w:rPr>
          <w:rFonts w:ascii="Palatino Linotype" w:hAnsi="Palatino Linotype" w:cs="Times New Roman"/>
          <w:sz w:val="20"/>
          <w:szCs w:val="20"/>
        </w:rPr>
        <w:t xml:space="preserve"> for the search in the </w:t>
      </w:r>
      <w:r w:rsidR="00FF0E45" w:rsidRPr="00850E67">
        <w:rPr>
          <w:rFonts w:ascii="Palatino Linotype" w:hAnsi="Palatino Linotype" w:cs="Times New Roman"/>
          <w:sz w:val="20"/>
          <w:szCs w:val="20"/>
        </w:rPr>
        <w:t xml:space="preserve">mentioned </w:t>
      </w:r>
      <w:r w:rsidR="003D1015" w:rsidRPr="00850E67">
        <w:rPr>
          <w:rFonts w:ascii="Palatino Linotype" w:hAnsi="Palatino Linotype" w:cs="Times New Roman"/>
          <w:sz w:val="20"/>
          <w:szCs w:val="20"/>
        </w:rPr>
        <w:t xml:space="preserve">online databases. Whenever the databases did not show any match, the different possibilities of </w:t>
      </w:r>
      <w:r w:rsidR="00FF5DD0" w:rsidRPr="00850E67">
        <w:rPr>
          <w:rFonts w:ascii="Palatino Linotype" w:hAnsi="Palatino Linotype" w:cs="Times New Roman"/>
          <w:sz w:val="20"/>
          <w:szCs w:val="20"/>
        </w:rPr>
        <w:t>fragmentation</w:t>
      </w:r>
      <w:r w:rsidR="003D1015" w:rsidRPr="00850E67">
        <w:rPr>
          <w:rFonts w:ascii="Palatino Linotype" w:hAnsi="Palatino Linotype" w:cs="Times New Roman"/>
          <w:sz w:val="20"/>
          <w:szCs w:val="20"/>
        </w:rPr>
        <w:t xml:space="preserve"> were studied considering the precursor ion and the product ion for the identification of the </w:t>
      </w:r>
      <w:r w:rsidR="00FF5DD0" w:rsidRPr="00850E67">
        <w:rPr>
          <w:rFonts w:ascii="Palatino Linotype" w:hAnsi="Palatino Linotype" w:cs="Times New Roman"/>
          <w:sz w:val="20"/>
          <w:szCs w:val="20"/>
        </w:rPr>
        <w:t>metabolites</w:t>
      </w:r>
      <w:r w:rsidR="003D1015" w:rsidRPr="00850E67">
        <w:rPr>
          <w:rFonts w:ascii="Palatino Linotype" w:hAnsi="Palatino Linotype" w:cs="Times New Roman"/>
          <w:sz w:val="20"/>
          <w:szCs w:val="20"/>
        </w:rPr>
        <w:t>.</w:t>
      </w:r>
      <w:r w:rsidR="00E2787B" w:rsidRPr="00850E67">
        <w:rPr>
          <w:rFonts w:ascii="Palatino Linotype" w:hAnsi="Palatino Linotype" w:cs="Times New Roman"/>
          <w:sz w:val="20"/>
          <w:szCs w:val="20"/>
        </w:rPr>
        <w:t xml:space="preserve"> For GC–MS data, </w:t>
      </w:r>
      <w:r w:rsidR="00347862" w:rsidRPr="00850E67">
        <w:rPr>
          <w:rFonts w:ascii="Palatino Linotype" w:hAnsi="Palatino Linotype" w:cs="Times New Roman"/>
          <w:sz w:val="20"/>
          <w:szCs w:val="20"/>
        </w:rPr>
        <w:t xml:space="preserve">compound identification was performed with </w:t>
      </w:r>
      <w:r w:rsidR="00347862" w:rsidRPr="00850E67">
        <w:rPr>
          <w:rFonts w:ascii="Palatino Linotype" w:hAnsi="Palatino Linotype"/>
          <w:sz w:val="20"/>
          <w:szCs w:val="20"/>
        </w:rPr>
        <w:t xml:space="preserve">the </w:t>
      </w:r>
      <w:r w:rsidR="00347862" w:rsidRPr="00850E67">
        <w:rPr>
          <w:rFonts w:ascii="Palatino Linotype" w:hAnsi="Palatino Linotype" w:cs="Times New Roman"/>
          <w:sz w:val="20"/>
          <w:szCs w:val="20"/>
        </w:rPr>
        <w:t xml:space="preserve">Fiehn library version 2008 and the CEMBIO in-house spectral library, and always by comparing both retention time (RT) and spectra extracted during the deconvolution against each compound included in the library. </w:t>
      </w:r>
      <w:r w:rsidR="003D1015" w:rsidRPr="00850E67">
        <w:rPr>
          <w:rFonts w:ascii="Palatino Linotype" w:hAnsi="Palatino Linotype" w:cs="Times New Roman"/>
          <w:sz w:val="20"/>
          <w:szCs w:val="20"/>
        </w:rPr>
        <w:t xml:space="preserve">For the non-identified compounds, a mixture of n-alkanes that was analyzed at the beginning of the analytical run was used as reference for RT/RI comparison with a commercial </w:t>
      </w:r>
      <w:r w:rsidR="009255ED" w:rsidRPr="00850E67">
        <w:rPr>
          <w:rFonts w:ascii="Palatino Linotype" w:hAnsi="Palatino Linotype" w:cs="Times New Roman"/>
          <w:sz w:val="20"/>
          <w:szCs w:val="20"/>
        </w:rPr>
        <w:t xml:space="preserve">mass </w:t>
      </w:r>
      <w:r w:rsidR="003D1015" w:rsidRPr="00850E67">
        <w:rPr>
          <w:rFonts w:ascii="Palatino Linotype" w:hAnsi="Palatino Linotype" w:cs="Times New Roman"/>
          <w:sz w:val="20"/>
          <w:szCs w:val="20"/>
        </w:rPr>
        <w:t xml:space="preserve">spectra library </w:t>
      </w:r>
      <w:r w:rsidR="009255ED" w:rsidRPr="00850E67">
        <w:rPr>
          <w:rFonts w:ascii="Palatino Linotype" w:hAnsi="Palatino Linotype" w:cs="Times New Roman"/>
          <w:sz w:val="20"/>
          <w:szCs w:val="20"/>
        </w:rPr>
        <w:t>—</w:t>
      </w:r>
      <w:r w:rsidR="003D1015" w:rsidRPr="00850E67">
        <w:rPr>
          <w:rFonts w:ascii="Palatino Linotype" w:hAnsi="Palatino Linotype" w:cs="Times New Roman"/>
          <w:sz w:val="20"/>
          <w:szCs w:val="20"/>
        </w:rPr>
        <w:t xml:space="preserve">NIST (National Institute of Standards and Technology) </w:t>
      </w:r>
      <w:r w:rsidR="009255ED" w:rsidRPr="00850E67">
        <w:rPr>
          <w:rFonts w:ascii="Palatino Linotype" w:hAnsi="Palatino Linotype" w:cs="Times New Roman"/>
          <w:sz w:val="20"/>
          <w:szCs w:val="20"/>
        </w:rPr>
        <w:t>version</w:t>
      </w:r>
      <w:r w:rsidR="003D1015" w:rsidRPr="00850E67">
        <w:rPr>
          <w:rFonts w:ascii="Palatino Linotype" w:hAnsi="Palatino Linotype" w:cs="Times New Roman"/>
          <w:sz w:val="20"/>
          <w:szCs w:val="20"/>
        </w:rPr>
        <w:t xml:space="preserve"> 2.2 2014. Those metabolites with </w:t>
      </w:r>
      <w:r w:rsidR="009255ED" w:rsidRPr="00850E67">
        <w:rPr>
          <w:rFonts w:ascii="Palatino Linotype" w:hAnsi="Palatino Linotype" w:cs="Times New Roman"/>
          <w:sz w:val="20"/>
          <w:szCs w:val="20"/>
        </w:rPr>
        <w:t xml:space="preserve">a </w:t>
      </w:r>
      <w:r w:rsidR="003D1015" w:rsidRPr="00850E67">
        <w:rPr>
          <w:rFonts w:ascii="Palatino Linotype" w:hAnsi="Palatino Linotype" w:cs="Times New Roman"/>
          <w:sz w:val="20"/>
          <w:szCs w:val="20"/>
        </w:rPr>
        <w:t xml:space="preserve">spectrum score higher than 80% and concordant </w:t>
      </w:r>
      <w:r w:rsidR="009255ED" w:rsidRPr="00850E67">
        <w:rPr>
          <w:rFonts w:ascii="Palatino Linotype" w:hAnsi="Palatino Linotype" w:cs="Times New Roman"/>
          <w:sz w:val="20"/>
          <w:szCs w:val="20"/>
        </w:rPr>
        <w:t>RI</w:t>
      </w:r>
      <w:r w:rsidR="003D1015" w:rsidRPr="00850E67">
        <w:rPr>
          <w:rFonts w:ascii="Palatino Linotype" w:hAnsi="Palatino Linotype" w:cs="Times New Roman"/>
          <w:sz w:val="20"/>
          <w:szCs w:val="20"/>
        </w:rPr>
        <w:t xml:space="preserve"> based on the n-alkane scale were putatively identified according to NIST.</w:t>
      </w:r>
    </w:p>
    <w:sectPr w:rsidR="00E2787B" w:rsidRPr="00850E67" w:rsidSect="002224C8">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5982"/>
    <w:rsid w:val="000176EB"/>
    <w:rsid w:val="00030BFF"/>
    <w:rsid w:val="00087C31"/>
    <w:rsid w:val="000A4CC0"/>
    <w:rsid w:val="000B55FA"/>
    <w:rsid w:val="001004C7"/>
    <w:rsid w:val="00165982"/>
    <w:rsid w:val="001A4270"/>
    <w:rsid w:val="001C546E"/>
    <w:rsid w:val="002224C8"/>
    <w:rsid w:val="002E6F34"/>
    <w:rsid w:val="003216B5"/>
    <w:rsid w:val="00347862"/>
    <w:rsid w:val="00362EB0"/>
    <w:rsid w:val="003C4985"/>
    <w:rsid w:val="003D1015"/>
    <w:rsid w:val="004202A2"/>
    <w:rsid w:val="004B1DCF"/>
    <w:rsid w:val="005164FE"/>
    <w:rsid w:val="00550289"/>
    <w:rsid w:val="00636AC1"/>
    <w:rsid w:val="0072156A"/>
    <w:rsid w:val="00722920"/>
    <w:rsid w:val="00723224"/>
    <w:rsid w:val="007C513B"/>
    <w:rsid w:val="007D36FC"/>
    <w:rsid w:val="00850E67"/>
    <w:rsid w:val="00877B9D"/>
    <w:rsid w:val="008C4340"/>
    <w:rsid w:val="009255ED"/>
    <w:rsid w:val="00987767"/>
    <w:rsid w:val="009A7203"/>
    <w:rsid w:val="009B1A87"/>
    <w:rsid w:val="009F655A"/>
    <w:rsid w:val="00AD38EA"/>
    <w:rsid w:val="00AD5630"/>
    <w:rsid w:val="00AF0805"/>
    <w:rsid w:val="00B13AE2"/>
    <w:rsid w:val="00B675AF"/>
    <w:rsid w:val="00BA6679"/>
    <w:rsid w:val="00C276F1"/>
    <w:rsid w:val="00C75179"/>
    <w:rsid w:val="00C83268"/>
    <w:rsid w:val="00C842EE"/>
    <w:rsid w:val="00CF0476"/>
    <w:rsid w:val="00CF0F11"/>
    <w:rsid w:val="00D2448D"/>
    <w:rsid w:val="00DC6824"/>
    <w:rsid w:val="00DE7930"/>
    <w:rsid w:val="00E2787B"/>
    <w:rsid w:val="00E30DAC"/>
    <w:rsid w:val="00E9441E"/>
    <w:rsid w:val="00ED18D6"/>
    <w:rsid w:val="00F42A93"/>
    <w:rsid w:val="00F55C8C"/>
    <w:rsid w:val="00F60B6F"/>
    <w:rsid w:val="00FB7580"/>
    <w:rsid w:val="00FC1EFA"/>
    <w:rsid w:val="00FF0E45"/>
    <w:rsid w:val="00FF5DD0"/>
  </w:rsids>
  <m:mathPr>
    <m:mathFont m:val="Cambria Math"/>
    <m:brkBin m:val="before"/>
    <m:brkBinSub m:val="--"/>
    <m:smallFrac m:val="0"/>
    <m:dispDef/>
    <m:lMargin m:val="0"/>
    <m:rMargin m:val="0"/>
    <m:defJc m:val="centerGroup"/>
    <m:wrapIndent m:val="1440"/>
    <m:intLim m:val="subSup"/>
    <m:naryLim m:val="undOvr"/>
  </m:mathPr>
  <w:themeFontLang w:val="es-E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A6DAB4"/>
  <w15:chartTrackingRefBased/>
  <w15:docId w15:val="{859277CC-AEA6-4BEB-9DB2-12FC2D67F9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Refdecomentario">
    <w:name w:val="annotation reference"/>
    <w:basedOn w:val="Fuentedeprrafopredeter"/>
    <w:uiPriority w:val="99"/>
    <w:semiHidden/>
    <w:unhideWhenUsed/>
    <w:rsid w:val="009A7203"/>
    <w:rPr>
      <w:sz w:val="16"/>
      <w:szCs w:val="16"/>
    </w:rPr>
  </w:style>
  <w:style w:type="paragraph" w:styleId="Textocomentario">
    <w:name w:val="annotation text"/>
    <w:basedOn w:val="Normal"/>
    <w:link w:val="TextocomentarioCar"/>
    <w:uiPriority w:val="99"/>
    <w:unhideWhenUsed/>
    <w:rsid w:val="009A7203"/>
    <w:pPr>
      <w:spacing w:after="200" w:line="240" w:lineRule="auto"/>
    </w:pPr>
    <w:rPr>
      <w:sz w:val="20"/>
      <w:szCs w:val="20"/>
      <w:lang w:val="es-ES"/>
    </w:rPr>
  </w:style>
  <w:style w:type="character" w:customStyle="1" w:styleId="TextocomentarioCar">
    <w:name w:val="Texto comentario Car"/>
    <w:basedOn w:val="Fuentedeprrafopredeter"/>
    <w:link w:val="Textocomentario"/>
    <w:uiPriority w:val="99"/>
    <w:rsid w:val="009A7203"/>
    <w:rPr>
      <w:sz w:val="20"/>
      <w:szCs w:val="20"/>
      <w:lang w:val="es-ES"/>
    </w:rPr>
  </w:style>
  <w:style w:type="paragraph" w:styleId="Textodeglobo">
    <w:name w:val="Balloon Text"/>
    <w:basedOn w:val="Normal"/>
    <w:link w:val="TextodegloboCar"/>
    <w:uiPriority w:val="99"/>
    <w:semiHidden/>
    <w:unhideWhenUsed/>
    <w:rsid w:val="009A7203"/>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9A7203"/>
    <w:rPr>
      <w:rFonts w:ascii="Segoe UI" w:hAnsi="Segoe UI" w:cs="Segoe UI"/>
      <w:sz w:val="18"/>
      <w:szCs w:val="18"/>
    </w:rPr>
  </w:style>
  <w:style w:type="character" w:styleId="Hipervnculo">
    <w:name w:val="Hyperlink"/>
    <w:basedOn w:val="Fuentedeprrafopredeter"/>
    <w:uiPriority w:val="99"/>
    <w:unhideWhenUsed/>
    <w:rsid w:val="00AD5630"/>
    <w:rPr>
      <w:color w:val="0000FF"/>
      <w:u w:val="single"/>
    </w:rPr>
  </w:style>
  <w:style w:type="character" w:styleId="Mencinsinresolver">
    <w:name w:val="Unresolved Mention"/>
    <w:basedOn w:val="Fuentedeprrafopredeter"/>
    <w:uiPriority w:val="99"/>
    <w:semiHidden/>
    <w:unhideWhenUsed/>
    <w:rsid w:val="00AD5630"/>
    <w:rPr>
      <w:color w:val="605E5C"/>
      <w:shd w:val="clear" w:color="auto" w:fill="E1DFDD"/>
    </w:rPr>
  </w:style>
  <w:style w:type="paragraph" w:styleId="NormalWeb">
    <w:name w:val="Normal (Web)"/>
    <w:basedOn w:val="Normal"/>
    <w:uiPriority w:val="99"/>
    <w:unhideWhenUsed/>
    <w:rsid w:val="000B55FA"/>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styleId="Asuntodelcomentario">
    <w:name w:val="annotation subject"/>
    <w:basedOn w:val="Textocomentario"/>
    <w:next w:val="Textocomentario"/>
    <w:link w:val="AsuntodelcomentarioCar"/>
    <w:uiPriority w:val="99"/>
    <w:semiHidden/>
    <w:unhideWhenUsed/>
    <w:rsid w:val="000B55FA"/>
    <w:pPr>
      <w:spacing w:after="160"/>
    </w:pPr>
    <w:rPr>
      <w:b/>
      <w:bCs/>
      <w:lang w:val="en-US"/>
    </w:rPr>
  </w:style>
  <w:style w:type="character" w:customStyle="1" w:styleId="AsuntodelcomentarioCar">
    <w:name w:val="Asunto del comentario Car"/>
    <w:basedOn w:val="TextocomentarioCar"/>
    <w:link w:val="Asuntodelcomentario"/>
    <w:uiPriority w:val="99"/>
    <w:semiHidden/>
    <w:rsid w:val="000B55FA"/>
    <w:rPr>
      <w:b/>
      <w:bCs/>
      <w:sz w:val="20"/>
      <w:szCs w:val="20"/>
      <w:lang w:val="es-ES"/>
    </w:rPr>
  </w:style>
  <w:style w:type="paragraph" w:customStyle="1" w:styleId="MDPI12title">
    <w:name w:val="MDPI_1.2_title"/>
    <w:next w:val="MDPI13authornames"/>
    <w:qFormat/>
    <w:rsid w:val="00850E67"/>
    <w:pPr>
      <w:adjustRightInd w:val="0"/>
      <w:snapToGrid w:val="0"/>
      <w:spacing w:after="240" w:line="400" w:lineRule="exact"/>
    </w:pPr>
    <w:rPr>
      <w:rFonts w:ascii="Palatino Linotype" w:eastAsia="Times New Roman" w:hAnsi="Palatino Linotype" w:cs="Times New Roman"/>
      <w:b/>
      <w:snapToGrid w:val="0"/>
      <w:color w:val="000000"/>
      <w:sz w:val="36"/>
      <w:szCs w:val="20"/>
      <w:lang w:eastAsia="de-DE" w:bidi="en-US"/>
    </w:rPr>
  </w:style>
  <w:style w:type="paragraph" w:customStyle="1" w:styleId="MDPI13authornames">
    <w:name w:val="MDPI_1.3_authornames"/>
    <w:basedOn w:val="Normal"/>
    <w:next w:val="MDPI14history"/>
    <w:qFormat/>
    <w:rsid w:val="00850E67"/>
    <w:pPr>
      <w:adjustRightInd w:val="0"/>
      <w:snapToGrid w:val="0"/>
      <w:spacing w:after="120" w:line="260" w:lineRule="atLeast"/>
    </w:pPr>
    <w:rPr>
      <w:rFonts w:ascii="Palatino Linotype" w:eastAsia="Times New Roman" w:hAnsi="Palatino Linotype" w:cs="Times New Roman"/>
      <w:b/>
      <w:color w:val="000000"/>
      <w:sz w:val="20"/>
      <w:lang w:eastAsia="de-DE" w:bidi="en-US"/>
    </w:rPr>
  </w:style>
  <w:style w:type="paragraph" w:customStyle="1" w:styleId="MDPI14history">
    <w:name w:val="MDPI_1.4_history"/>
    <w:basedOn w:val="Normal"/>
    <w:next w:val="Normal"/>
    <w:qFormat/>
    <w:rsid w:val="00850E67"/>
    <w:pPr>
      <w:adjustRightInd w:val="0"/>
      <w:snapToGrid w:val="0"/>
      <w:spacing w:before="120" w:after="0" w:line="200" w:lineRule="atLeast"/>
      <w:ind w:left="113"/>
    </w:pPr>
    <w:rPr>
      <w:rFonts w:ascii="Palatino Linotype" w:eastAsia="Times New Roman" w:hAnsi="Palatino Linotype" w:cs="Times New Roman"/>
      <w:color w:val="000000"/>
      <w:sz w:val="18"/>
      <w:szCs w:val="20"/>
      <w:lang w:eastAsia="de-DE" w:bidi="en-US"/>
    </w:rPr>
  </w:style>
  <w:style w:type="paragraph" w:customStyle="1" w:styleId="MDPI16affiliation">
    <w:name w:val="MDPI_1.6_affiliation"/>
    <w:basedOn w:val="Normal"/>
    <w:qFormat/>
    <w:rsid w:val="00850E67"/>
    <w:pPr>
      <w:adjustRightInd w:val="0"/>
      <w:snapToGrid w:val="0"/>
      <w:spacing w:after="0" w:line="200" w:lineRule="atLeast"/>
      <w:ind w:left="311" w:hanging="198"/>
    </w:pPr>
    <w:rPr>
      <w:rFonts w:ascii="Palatino Linotype" w:eastAsia="Times New Roman" w:hAnsi="Palatino Linotype" w:cs="Times New Roman"/>
      <w:color w:val="000000"/>
      <w:sz w:val="18"/>
      <w:szCs w:val="18"/>
      <w:lang w:eastAsia="de-DE"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4</Pages>
  <Words>2004</Words>
  <Characters>11424</Characters>
  <Application>Microsoft Office Word</Application>
  <DocSecurity>0</DocSecurity>
  <Lines>95</Lines>
  <Paragraphs>26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 Ching</dc:creator>
  <cp:keywords/>
  <dc:description/>
  <cp:lastModifiedBy>Ana Ching</cp:lastModifiedBy>
  <cp:revision>9</cp:revision>
  <dcterms:created xsi:type="dcterms:W3CDTF">2020-09-23T09:55:00Z</dcterms:created>
  <dcterms:modified xsi:type="dcterms:W3CDTF">2020-11-26T09:11:00Z</dcterms:modified>
</cp:coreProperties>
</file>