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93885" w14:textId="35D18D55" w:rsidR="00BF683B" w:rsidRPr="00C7175F" w:rsidRDefault="008B6D68" w:rsidP="00BF683B">
      <w:pPr>
        <w:pStyle w:val="MDPI12title"/>
        <w:spacing w:line="240" w:lineRule="atLeast"/>
        <w:rPr>
          <w:rFonts w:ascii="Palatino" w:hAnsi="Palatino"/>
          <w:b w:val="0"/>
          <w:bCs/>
          <w:sz w:val="20"/>
          <w:lang w:val="en-CA"/>
        </w:rPr>
      </w:pPr>
      <w:r w:rsidRPr="00C7175F">
        <w:rPr>
          <w:rFonts w:ascii="Palatino" w:hAnsi="Palatino"/>
          <w:b w:val="0"/>
          <w:bCs/>
          <w:sz w:val="20"/>
          <w:lang w:val="en-CA"/>
        </w:rPr>
        <w:t>International Journal of Molecular Sciences</w:t>
      </w:r>
    </w:p>
    <w:p w14:paraId="7A70FF8F" w14:textId="77777777" w:rsidR="00842883" w:rsidRPr="00454DB2" w:rsidRDefault="00842883" w:rsidP="00842883">
      <w:pPr>
        <w:pStyle w:val="MDPI12title"/>
      </w:pPr>
      <w:r w:rsidRPr="00454DB2">
        <w:t>Characterization of Potency of the P2Y13 Receptor Agonists: A Meta-Analysis</w:t>
      </w:r>
    </w:p>
    <w:p w14:paraId="5C08FE7E" w14:textId="77777777" w:rsidR="00842883" w:rsidRPr="00842883" w:rsidRDefault="00842883" w:rsidP="00842883">
      <w:pPr>
        <w:pStyle w:val="MDPI13authornames"/>
      </w:pPr>
      <w:r w:rsidRPr="00842883">
        <w:t xml:space="preserve">Chrisanne Dsouza </w:t>
      </w:r>
      <w:r w:rsidRPr="00842883">
        <w:rPr>
          <w:vertAlign w:val="superscript"/>
        </w:rPr>
        <w:t>1,2</w:t>
      </w:r>
      <w:r w:rsidRPr="00842883">
        <w:t xml:space="preserve"> and Svetlana V Komarova </w:t>
      </w:r>
      <w:r w:rsidRPr="00842883">
        <w:rPr>
          <w:vertAlign w:val="superscript"/>
        </w:rPr>
        <w:t>1,2,</w:t>
      </w:r>
      <w:proofErr w:type="gramStart"/>
      <w:r w:rsidRPr="00842883">
        <w:rPr>
          <w:vertAlign w:val="superscript"/>
        </w:rPr>
        <w:t>3,</w:t>
      </w:r>
      <w:r w:rsidRPr="00842883">
        <w:t>*</w:t>
      </w:r>
      <w:proofErr w:type="gramEnd"/>
    </w:p>
    <w:p w14:paraId="60181731" w14:textId="77777777" w:rsidR="00842883" w:rsidRPr="00842883" w:rsidRDefault="00842883" w:rsidP="00842883">
      <w:pPr>
        <w:pStyle w:val="MDPI16affiliation"/>
      </w:pPr>
      <w:r w:rsidRPr="00842883">
        <w:rPr>
          <w:vertAlign w:val="superscript"/>
        </w:rPr>
        <w:t>1</w:t>
      </w:r>
      <w:r w:rsidRPr="00842883">
        <w:tab/>
        <w:t xml:space="preserve">Department of Experimental Surgery, McGill University, Montreal, QC H3G 1A4, Canada; </w:t>
      </w:r>
      <w:r w:rsidRPr="00842883">
        <w:br/>
        <w:t>chrisanne.dsouza@mail.mcgill.ca</w:t>
      </w:r>
    </w:p>
    <w:p w14:paraId="173E9077" w14:textId="77777777" w:rsidR="00842883" w:rsidRDefault="00842883" w:rsidP="00842883">
      <w:pPr>
        <w:pStyle w:val="MDPI16affiliation"/>
      </w:pPr>
      <w:r w:rsidRPr="00842883">
        <w:rPr>
          <w:vertAlign w:val="superscript"/>
        </w:rPr>
        <w:t>2</w:t>
      </w:r>
      <w:r w:rsidRPr="00842883">
        <w:tab/>
        <w:t>Shriners Hospital for Children, Montreal</w:t>
      </w:r>
      <w:r>
        <w:t xml:space="preserve"> QC H4A 0A9, Canada</w:t>
      </w:r>
    </w:p>
    <w:p w14:paraId="5638DAA7" w14:textId="77777777" w:rsidR="00842883" w:rsidRPr="00744116" w:rsidRDefault="00842883" w:rsidP="00842883">
      <w:pPr>
        <w:pStyle w:val="MDPI16affiliation"/>
      </w:pPr>
      <w:r w:rsidRPr="008E69A1">
        <w:rPr>
          <w:vertAlign w:val="superscript"/>
        </w:rPr>
        <w:t>3</w:t>
      </w:r>
      <w:r w:rsidRPr="008E69A1">
        <w:tab/>
      </w:r>
      <w:r>
        <w:t>Faculty of Dentistry, McGill University, Montreal, QC H3A 1G1, Canada</w:t>
      </w:r>
    </w:p>
    <w:p w14:paraId="5E292610" w14:textId="3643B517" w:rsidR="00842883" w:rsidRPr="005C0AAB" w:rsidRDefault="00842883" w:rsidP="00842883">
      <w:pPr>
        <w:pStyle w:val="MDPI16affiliation"/>
        <w:rPr>
          <w:szCs w:val="16"/>
        </w:rPr>
      </w:pPr>
      <w:r w:rsidRPr="008E69A1">
        <w:t>*</w:t>
      </w:r>
      <w:r w:rsidRPr="008E69A1">
        <w:tab/>
      </w:r>
      <w:r w:rsidRPr="00D945EC">
        <w:t>Correspondence</w:t>
      </w:r>
      <w:r>
        <w:t xml:space="preserve">: </w:t>
      </w:r>
      <w:hyperlink r:id="rId5" w:history="1">
        <w:r w:rsidRPr="009B0916">
          <w:rPr>
            <w:rStyle w:val="Hyperlink"/>
          </w:rPr>
          <w:t>svetlana.komarova@mcgill.ca</w:t>
        </w:r>
      </w:hyperlink>
      <w:r>
        <w:rPr>
          <w:rStyle w:val="Hyperlink"/>
          <w:color w:val="000000" w:themeColor="text1"/>
          <w:u w:val="none"/>
        </w:rPr>
        <w:t xml:space="preserve"> </w:t>
      </w:r>
    </w:p>
    <w:p w14:paraId="38CDE2CF" w14:textId="4AA6878B" w:rsidR="00D443F8" w:rsidRPr="00C7175F" w:rsidRDefault="00D443F8" w:rsidP="00D443F8">
      <w:pPr>
        <w:pStyle w:val="MDPI51figurecaption"/>
        <w:ind w:left="0"/>
        <w:rPr>
          <w:rFonts w:ascii="Palatino" w:hAnsi="Palatino"/>
          <w:b/>
          <w:bCs/>
          <w:sz w:val="20"/>
          <w:lang w:val="en-CA"/>
        </w:rPr>
      </w:pPr>
      <w:r w:rsidRPr="00C7175F">
        <w:rPr>
          <w:rFonts w:ascii="Palatino" w:hAnsi="Palatino"/>
          <w:b/>
          <w:bCs/>
          <w:sz w:val="20"/>
          <w:lang w:val="en-CA"/>
        </w:rPr>
        <w:t>Supplemental data</w:t>
      </w:r>
    </w:p>
    <w:p w14:paraId="635802EB" w14:textId="4FE1E291" w:rsidR="00BD3FE5" w:rsidRPr="00C7175F" w:rsidRDefault="00BD3FE5" w:rsidP="00B97426">
      <w:pPr>
        <w:pStyle w:val="MDPI51figurecaption"/>
        <w:rPr>
          <w:rFonts w:ascii="Palatino" w:hAnsi="Palatino"/>
          <w:sz w:val="20"/>
          <w:lang w:val="en-CA"/>
        </w:rPr>
      </w:pPr>
      <w:r w:rsidRPr="00C7175F">
        <w:rPr>
          <w:rFonts w:ascii="Palatino" w:hAnsi="Palatino"/>
          <w:b/>
          <w:bCs/>
          <w:sz w:val="20"/>
          <w:lang w:val="en-CA"/>
        </w:rPr>
        <w:t>S1</w:t>
      </w:r>
      <w:r w:rsidRPr="00C7175F">
        <w:rPr>
          <w:rFonts w:ascii="Palatino" w:hAnsi="Palatino"/>
          <w:sz w:val="20"/>
          <w:lang w:val="en-CA"/>
        </w:rPr>
        <w:t>. Search strategy</w:t>
      </w:r>
      <w:r w:rsidR="004B2DD7" w:rsidRPr="00C7175F">
        <w:rPr>
          <w:rFonts w:ascii="Palatino" w:hAnsi="Palatino"/>
          <w:sz w:val="20"/>
          <w:lang w:val="en-CA"/>
        </w:rPr>
        <w:t xml:space="preserve"> for the P2Y13 </w:t>
      </w:r>
      <w:r w:rsidR="00185F30" w:rsidRPr="00C7175F">
        <w:rPr>
          <w:rFonts w:ascii="Palatino" w:hAnsi="Palatino"/>
          <w:sz w:val="20"/>
          <w:lang w:val="en-CA"/>
        </w:rPr>
        <w:t>meta-analysis</w:t>
      </w:r>
    </w:p>
    <w:tbl>
      <w:tblPr>
        <w:tblW w:w="0" w:type="auto"/>
        <w:tblInd w:w="462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806"/>
        <w:gridCol w:w="6096"/>
      </w:tblGrid>
      <w:tr w:rsidR="001B2D3F" w:rsidRPr="00C7175F" w14:paraId="606A3CC3" w14:textId="77777777" w:rsidTr="0091775E">
        <w:tc>
          <w:tcPr>
            <w:tcW w:w="79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1E14C" w14:textId="49973E3C" w:rsidR="001B2D3F" w:rsidRPr="00C7175F" w:rsidRDefault="001B2D3F" w:rsidP="001B2D3F">
            <w:pPr>
              <w:pStyle w:val="MDPI42tablebody"/>
              <w:spacing w:line="240" w:lineRule="auto"/>
              <w:jc w:val="left"/>
              <w:rPr>
                <w:rFonts w:ascii="Palatino" w:hAnsi="Palatino"/>
                <w:b/>
                <w:snapToGrid/>
              </w:rPr>
            </w:pPr>
            <w:r w:rsidRPr="00C7175F">
              <w:rPr>
                <w:rFonts w:ascii="Palatino" w:hAnsi="Palatino"/>
                <w:b/>
                <w:snapToGrid/>
              </w:rPr>
              <w:t>Search strategy:</w:t>
            </w:r>
          </w:p>
        </w:tc>
      </w:tr>
      <w:tr w:rsidR="001B2D3F" w:rsidRPr="00C7175F" w14:paraId="288C6E93" w14:textId="77777777" w:rsidTr="0091775E">
        <w:tc>
          <w:tcPr>
            <w:tcW w:w="1806" w:type="dxa"/>
            <w:shd w:val="clear" w:color="auto" w:fill="auto"/>
            <w:vAlign w:val="center"/>
          </w:tcPr>
          <w:p w14:paraId="66A9E233" w14:textId="196BADC2" w:rsidR="001B2D3F" w:rsidRPr="00C7175F" w:rsidRDefault="001B2D3F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Database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E57A4CF" w14:textId="64F95F98" w:rsidR="001B2D3F" w:rsidRPr="00C7175F" w:rsidRDefault="001B2D3F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PubMed</w:t>
            </w:r>
          </w:p>
        </w:tc>
      </w:tr>
      <w:tr w:rsidR="001B2D3F" w:rsidRPr="00C7175F" w14:paraId="7007C398" w14:textId="77777777" w:rsidTr="0091775E">
        <w:trPr>
          <w:trHeight w:val="63"/>
        </w:trPr>
        <w:tc>
          <w:tcPr>
            <w:tcW w:w="1806" w:type="dxa"/>
            <w:shd w:val="clear" w:color="auto" w:fill="auto"/>
            <w:vAlign w:val="center"/>
          </w:tcPr>
          <w:p w14:paraId="2E7AC303" w14:textId="15878F36" w:rsidR="001B2D3F" w:rsidRPr="00C7175F" w:rsidRDefault="001B2D3F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Search date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6981A1D" w14:textId="3C56349C" w:rsidR="001B2D3F" w:rsidRPr="00C7175F" w:rsidRDefault="001B2D3F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initial: July 03, 2019; updated: September 14, 2020</w:t>
            </w:r>
          </w:p>
        </w:tc>
      </w:tr>
      <w:tr w:rsidR="001B2D3F" w:rsidRPr="00C7175F" w14:paraId="73F87EF7" w14:textId="77777777" w:rsidTr="0091775E">
        <w:trPr>
          <w:trHeight w:val="63"/>
        </w:trPr>
        <w:tc>
          <w:tcPr>
            <w:tcW w:w="1806" w:type="dxa"/>
            <w:shd w:val="clear" w:color="auto" w:fill="auto"/>
            <w:vAlign w:val="center"/>
          </w:tcPr>
          <w:p w14:paraId="5DFEF1BE" w14:textId="4DEB2106" w:rsidR="001B2D3F" w:rsidRPr="00C7175F" w:rsidRDefault="001B2D3F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Search strategy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8CFDFD" w14:textId="32496719" w:rsidR="001B2D3F" w:rsidRPr="00C7175F" w:rsidRDefault="0091775E" w:rsidP="0091775E">
            <w:pPr>
              <w:pStyle w:val="MDPI51figurecaption"/>
              <w:rPr>
                <w:rFonts w:ascii="Palatino" w:hAnsi="Palatino"/>
                <w:sz w:val="20"/>
              </w:rPr>
            </w:pPr>
            <w:r w:rsidRPr="00C7175F">
              <w:rPr>
                <w:rFonts w:ascii="Palatino" w:hAnsi="Palatino"/>
                <w:sz w:val="20"/>
              </w:rPr>
              <w:t>(“P2RY13” OR ”GPCR1” OR ”GPR86” OR ”GPR94” OR ”P2Y13” OR ”SP174” OR  ”purinergic receptor P2Y13” OR “53829” OR “74191”) AND (“ATP” OR “adenosine triphosphate” OR “ADP” OR “adenosine diphosphate” OR “UTP” OR “uridine triphosphate” OR “UDP” OR “uridine diphosphate” OR “[33P]2MeSADP” OR “2MeSADP” OR “2MeSATP” OR “ADPβS” OR “ATPγS” OR  “cangrelor” OR “Ap4A” OR “MRS2603” OR “MRS2211” OR “reactive blue-2” OR “suramin” OR “2MeSAMP” OR “PPADS”)</w:t>
            </w:r>
          </w:p>
        </w:tc>
      </w:tr>
      <w:tr w:rsidR="001B2D3F" w:rsidRPr="00C7175F" w14:paraId="3B3142DD" w14:textId="77777777" w:rsidTr="0091775E">
        <w:trPr>
          <w:trHeight w:val="63"/>
        </w:trPr>
        <w:tc>
          <w:tcPr>
            <w:tcW w:w="1806" w:type="dxa"/>
            <w:shd w:val="clear" w:color="auto" w:fill="auto"/>
            <w:vAlign w:val="center"/>
          </w:tcPr>
          <w:p w14:paraId="641E0F54" w14:textId="5DF9B3D4" w:rsidR="001B2D3F" w:rsidRPr="00C7175F" w:rsidRDefault="0091775E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Eligibility criteria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03EFB08" w14:textId="60073A04" w:rsidR="001B2D3F" w:rsidRPr="00C7175F" w:rsidRDefault="004B2DD7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P2Y13 response to P2Y13-specific ligands</w:t>
            </w:r>
          </w:p>
        </w:tc>
      </w:tr>
      <w:tr w:rsidR="001B2D3F" w:rsidRPr="00C7175F" w14:paraId="3463DF76" w14:textId="77777777" w:rsidTr="0091775E">
        <w:trPr>
          <w:trHeight w:val="63"/>
        </w:trPr>
        <w:tc>
          <w:tcPr>
            <w:tcW w:w="1806" w:type="dxa"/>
            <w:shd w:val="clear" w:color="auto" w:fill="auto"/>
            <w:vAlign w:val="center"/>
          </w:tcPr>
          <w:p w14:paraId="3D1C3586" w14:textId="16D79F7B" w:rsidR="001B2D3F" w:rsidRPr="00C7175F" w:rsidRDefault="0091775E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Initial hits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E3E3AD4" w14:textId="34B6A07A" w:rsidR="001B2D3F" w:rsidRPr="00C7175F" w:rsidRDefault="004B2DD7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153</w:t>
            </w:r>
          </w:p>
        </w:tc>
      </w:tr>
      <w:tr w:rsidR="0091775E" w:rsidRPr="00C7175F" w14:paraId="64FD362C" w14:textId="77777777" w:rsidTr="0091775E">
        <w:trPr>
          <w:trHeight w:val="63"/>
        </w:trPr>
        <w:tc>
          <w:tcPr>
            <w:tcW w:w="1806" w:type="dxa"/>
            <w:shd w:val="clear" w:color="auto" w:fill="auto"/>
            <w:vAlign w:val="center"/>
          </w:tcPr>
          <w:p w14:paraId="67F3189E" w14:textId="51A47A6E" w:rsidR="0091775E" w:rsidRPr="00C7175F" w:rsidRDefault="004B2DD7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Eligible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4045351" w14:textId="5D4299AB" w:rsidR="0091775E" w:rsidRPr="00C7175F" w:rsidRDefault="004B2DD7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50</w:t>
            </w:r>
          </w:p>
        </w:tc>
      </w:tr>
      <w:tr w:rsidR="004B2DD7" w:rsidRPr="00C7175F" w14:paraId="5C1B1B19" w14:textId="77777777" w:rsidTr="0091775E">
        <w:trPr>
          <w:trHeight w:val="63"/>
        </w:trPr>
        <w:tc>
          <w:tcPr>
            <w:tcW w:w="1806" w:type="dxa"/>
            <w:shd w:val="clear" w:color="auto" w:fill="auto"/>
            <w:vAlign w:val="center"/>
          </w:tcPr>
          <w:p w14:paraId="50B113EA" w14:textId="2D8DA1AB" w:rsidR="004B2DD7" w:rsidRPr="00C7175F" w:rsidRDefault="004B2DD7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 xml:space="preserve">Potential </w:t>
            </w:r>
            <w:r w:rsidR="009950FB" w:rsidRPr="00C7175F">
              <w:rPr>
                <w:rFonts w:ascii="Palatino" w:hAnsi="Palatino"/>
              </w:rPr>
              <w:t>datasets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455D6B8" w14:textId="3C75FEB1" w:rsidR="004B2DD7" w:rsidRPr="00C7175F" w:rsidRDefault="004B2DD7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1</w:t>
            </w:r>
            <w:r w:rsidR="0012384A">
              <w:rPr>
                <w:rFonts w:ascii="Palatino" w:hAnsi="Palatino"/>
              </w:rPr>
              <w:t>8</w:t>
            </w:r>
          </w:p>
        </w:tc>
      </w:tr>
    </w:tbl>
    <w:p w14:paraId="352430D1" w14:textId="77777777" w:rsidR="001B2D3F" w:rsidRPr="00C7175F" w:rsidRDefault="001B2D3F" w:rsidP="004B2DD7">
      <w:pPr>
        <w:pStyle w:val="MDPI51figurecaption"/>
        <w:ind w:left="0"/>
        <w:rPr>
          <w:rFonts w:ascii="Palatino" w:hAnsi="Palatino"/>
          <w:sz w:val="20"/>
          <w:lang w:val="en-CA"/>
        </w:rPr>
      </w:pPr>
    </w:p>
    <w:p w14:paraId="157DB026" w14:textId="27BDBA0E" w:rsidR="007D20EF" w:rsidRPr="00C7175F" w:rsidRDefault="007D20EF" w:rsidP="007D20EF">
      <w:pPr>
        <w:pStyle w:val="MDPI51figurecaption"/>
        <w:rPr>
          <w:rFonts w:ascii="Palatino" w:hAnsi="Palatino"/>
          <w:sz w:val="20"/>
          <w:lang w:val="en-CA"/>
        </w:rPr>
      </w:pPr>
      <w:r w:rsidRPr="00C7175F">
        <w:rPr>
          <w:rFonts w:ascii="Palatino" w:hAnsi="Palatino"/>
          <w:b/>
          <w:bCs/>
          <w:sz w:val="20"/>
          <w:lang w:val="en-CA"/>
        </w:rPr>
        <w:t>S2</w:t>
      </w:r>
      <w:r w:rsidRPr="00C7175F">
        <w:rPr>
          <w:rFonts w:ascii="Palatino" w:hAnsi="Palatino"/>
          <w:sz w:val="20"/>
          <w:lang w:val="en-CA"/>
        </w:rPr>
        <w:t xml:space="preserve">. Quality assessment </w:t>
      </w:r>
      <w:r w:rsidR="005C318F" w:rsidRPr="00C7175F">
        <w:rPr>
          <w:rFonts w:ascii="Palatino" w:hAnsi="Palatino"/>
          <w:sz w:val="20"/>
          <w:lang w:val="en-CA"/>
        </w:rPr>
        <w:t>questionnaire</w:t>
      </w:r>
      <w:r w:rsidR="00991827" w:rsidRPr="00C7175F">
        <w:rPr>
          <w:rFonts w:ascii="Palatino" w:hAnsi="Palatino"/>
          <w:sz w:val="20"/>
          <w:lang w:val="en-CA"/>
        </w:rPr>
        <w:t xml:space="preserve"> </w:t>
      </w:r>
      <w:r w:rsidR="006B1E11" w:rsidRPr="00C7175F">
        <w:rPr>
          <w:rFonts w:ascii="Palatino" w:hAnsi="Palatino"/>
          <w:sz w:val="20"/>
          <w:lang w:val="en-CA"/>
        </w:rPr>
        <w:t xml:space="preserve">for the articles included in the meta-analysis. </w:t>
      </w:r>
      <w:r w:rsidR="00991827" w:rsidRPr="00C7175F">
        <w:rPr>
          <w:rFonts w:ascii="Palatino" w:hAnsi="Palatino"/>
          <w:sz w:val="20"/>
          <w:lang w:val="en-CA"/>
        </w:rPr>
        <w:t>14 points</w:t>
      </w:r>
      <w:r w:rsidR="006B1E11" w:rsidRPr="00C7175F">
        <w:rPr>
          <w:rFonts w:ascii="Palatino" w:hAnsi="Palatino"/>
          <w:sz w:val="20"/>
          <w:lang w:val="en-CA"/>
        </w:rPr>
        <w:t xml:space="preserve"> indicates a </w:t>
      </w:r>
      <w:r w:rsidR="00185F30" w:rsidRPr="00C7175F">
        <w:rPr>
          <w:rFonts w:ascii="Palatino" w:hAnsi="Palatino"/>
          <w:sz w:val="20"/>
          <w:lang w:val="en-CA"/>
        </w:rPr>
        <w:t>high-quality</w:t>
      </w:r>
      <w:r w:rsidR="006B1E11" w:rsidRPr="00C7175F">
        <w:rPr>
          <w:rFonts w:ascii="Palatino" w:hAnsi="Palatino"/>
          <w:sz w:val="20"/>
          <w:lang w:val="en-CA"/>
        </w:rPr>
        <w:t xml:space="preserve"> article</w:t>
      </w:r>
    </w:p>
    <w:tbl>
      <w:tblPr>
        <w:tblW w:w="8610" w:type="dxa"/>
        <w:tblInd w:w="462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389"/>
        <w:gridCol w:w="8221"/>
      </w:tblGrid>
      <w:tr w:rsidR="00E86921" w:rsidRPr="00C7175F" w14:paraId="39DE8DAD" w14:textId="77777777" w:rsidTr="00185F30">
        <w:tc>
          <w:tcPr>
            <w:tcW w:w="86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E1AE0A" w14:textId="42E38444" w:rsidR="00E86921" w:rsidRPr="00C7175F" w:rsidRDefault="00E86921" w:rsidP="00D62C3C">
            <w:pPr>
              <w:pStyle w:val="MDPI42tablebody"/>
              <w:spacing w:line="240" w:lineRule="auto"/>
              <w:jc w:val="left"/>
              <w:rPr>
                <w:rFonts w:ascii="Palatino" w:hAnsi="Palatino"/>
                <w:b/>
                <w:snapToGrid/>
              </w:rPr>
            </w:pPr>
            <w:r w:rsidRPr="00C7175F">
              <w:rPr>
                <w:rFonts w:ascii="Palatino" w:hAnsi="Palatino"/>
                <w:b/>
                <w:snapToGrid/>
              </w:rPr>
              <w:t>Quality checklist (maximum 14 points):</w:t>
            </w:r>
          </w:p>
        </w:tc>
      </w:tr>
      <w:tr w:rsidR="00E86921" w:rsidRPr="00C7175F" w14:paraId="75300C18" w14:textId="77777777" w:rsidTr="009950FB">
        <w:trPr>
          <w:trHeight w:val="908"/>
        </w:trPr>
        <w:tc>
          <w:tcPr>
            <w:tcW w:w="389" w:type="dxa"/>
            <w:shd w:val="clear" w:color="auto" w:fill="auto"/>
            <w:vAlign w:val="center"/>
          </w:tcPr>
          <w:p w14:paraId="29EDE9BC" w14:textId="295A1A90" w:rsidR="00E86921" w:rsidRPr="00C7175F" w:rsidRDefault="00185F30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1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72C9A81" w14:textId="254B3E56" w:rsidR="00E86921" w:rsidRPr="00C7175F" w:rsidRDefault="00185F30" w:rsidP="00185F30">
            <w:pPr>
              <w:pStyle w:val="MDPI51figurecaption"/>
              <w:ind w:left="0"/>
              <w:rPr>
                <w:rFonts w:ascii="Palatino" w:hAnsi="Palatino"/>
                <w:sz w:val="20"/>
              </w:rPr>
            </w:pPr>
            <w:r w:rsidRPr="00C7175F">
              <w:rPr>
                <w:rFonts w:ascii="Palatino" w:hAnsi="Palatino"/>
                <w:sz w:val="20"/>
              </w:rPr>
              <w:t>Whether the study focused specifically the P2Y13 (receptor overexpression or specific agonist) (1) or other general agonists were added which can generate a response through other P2 receptors (0)</w:t>
            </w:r>
          </w:p>
        </w:tc>
      </w:tr>
      <w:tr w:rsidR="00E86921" w:rsidRPr="00C7175F" w14:paraId="130F373B" w14:textId="77777777" w:rsidTr="00185F30">
        <w:trPr>
          <w:trHeight w:val="906"/>
        </w:trPr>
        <w:tc>
          <w:tcPr>
            <w:tcW w:w="389" w:type="dxa"/>
            <w:shd w:val="clear" w:color="auto" w:fill="auto"/>
            <w:vAlign w:val="center"/>
          </w:tcPr>
          <w:p w14:paraId="4F4CEEA0" w14:textId="761846FE" w:rsidR="00E86921" w:rsidRPr="00C7175F" w:rsidRDefault="00185F30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2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556B5E58" w14:textId="62D6C5C5" w:rsidR="00E86921" w:rsidRPr="00C7175F" w:rsidRDefault="00185F30" w:rsidP="00185F30">
            <w:pPr>
              <w:pStyle w:val="MDPI51figurecaption"/>
              <w:ind w:left="0"/>
              <w:rPr>
                <w:rFonts w:ascii="Palatino" w:hAnsi="Palatino"/>
                <w:sz w:val="20"/>
              </w:rPr>
            </w:pPr>
            <w:r w:rsidRPr="00C7175F">
              <w:rPr>
                <w:rFonts w:ascii="Palatino" w:hAnsi="Palatino"/>
                <w:sz w:val="20"/>
              </w:rPr>
              <w:t xml:space="preserve">Whether the study reported the following: (1 point each, maximum of 8): dose dependence curves, agonist/antagonist addition, reporting concentration of ligand, </w:t>
            </w:r>
            <w:r w:rsidRPr="00C7175F">
              <w:rPr>
                <w:rFonts w:ascii="Palatino" w:hAnsi="Palatino"/>
                <w:sz w:val="20"/>
              </w:rPr>
              <w:lastRenderedPageBreak/>
              <w:t>expression of receptor, type of assay, outcome, sample size, origin of cells (in vivo, in vitro, etc.)</w:t>
            </w:r>
          </w:p>
        </w:tc>
      </w:tr>
      <w:tr w:rsidR="009950FB" w:rsidRPr="00C7175F" w14:paraId="2B1ADEB6" w14:textId="77777777" w:rsidTr="00185F30">
        <w:trPr>
          <w:trHeight w:val="63"/>
        </w:trPr>
        <w:tc>
          <w:tcPr>
            <w:tcW w:w="389" w:type="dxa"/>
            <w:shd w:val="clear" w:color="auto" w:fill="auto"/>
            <w:vAlign w:val="center"/>
          </w:tcPr>
          <w:p w14:paraId="338638C9" w14:textId="635BEA71" w:rsidR="009950FB" w:rsidRPr="00C7175F" w:rsidRDefault="009950FB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lastRenderedPageBreak/>
              <w:t>3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3F3D3B5B" w14:textId="175CEF7A" w:rsidR="009950FB" w:rsidRPr="00C7175F" w:rsidRDefault="009950FB" w:rsidP="00185F30">
            <w:pPr>
              <w:pStyle w:val="MDPI42tablebody"/>
              <w:spacing w:line="240" w:lineRule="auto"/>
              <w:jc w:val="left"/>
              <w:rPr>
                <w:rFonts w:ascii="Palatino" w:hAnsi="Palatino"/>
                <w:lang w:val="en-CA"/>
              </w:rPr>
            </w:pPr>
            <w:r w:rsidRPr="00C7175F">
              <w:rPr>
                <w:rFonts w:ascii="Palatino" w:hAnsi="Palatino"/>
                <w:lang w:val="en-CA"/>
              </w:rPr>
              <w:t>Whether the study reported control data (1) or normalized to control (1)</w:t>
            </w:r>
          </w:p>
        </w:tc>
      </w:tr>
      <w:tr w:rsidR="00E86921" w:rsidRPr="00C7175F" w14:paraId="6C52568D" w14:textId="77777777" w:rsidTr="00185F30">
        <w:trPr>
          <w:trHeight w:val="63"/>
        </w:trPr>
        <w:tc>
          <w:tcPr>
            <w:tcW w:w="389" w:type="dxa"/>
            <w:shd w:val="clear" w:color="auto" w:fill="auto"/>
            <w:vAlign w:val="center"/>
          </w:tcPr>
          <w:p w14:paraId="0C0CAD8F" w14:textId="24554D6B" w:rsidR="00E86921" w:rsidRPr="00C7175F" w:rsidRDefault="00185F30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4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5D6AFBFF" w14:textId="05B93DF9" w:rsidR="00E86921" w:rsidRPr="00C7175F" w:rsidRDefault="00185F30" w:rsidP="00185F30">
            <w:pPr>
              <w:pStyle w:val="MDPI42tablebody"/>
              <w:spacing w:line="240" w:lineRule="auto"/>
              <w:jc w:val="left"/>
              <w:rPr>
                <w:rFonts w:ascii="Palatino" w:hAnsi="Palatino"/>
              </w:rPr>
            </w:pPr>
            <w:r w:rsidRPr="00C7175F">
              <w:rPr>
                <w:rFonts w:ascii="Palatino" w:hAnsi="Palatino"/>
                <w:lang w:val="en-CA"/>
              </w:rPr>
              <w:t>Whether data was presented in a graph (1) or tabular form (0)</w:t>
            </w:r>
          </w:p>
        </w:tc>
      </w:tr>
      <w:tr w:rsidR="00E86921" w:rsidRPr="00C7175F" w14:paraId="36C4072D" w14:textId="77777777" w:rsidTr="00185F30">
        <w:trPr>
          <w:trHeight w:val="63"/>
        </w:trPr>
        <w:tc>
          <w:tcPr>
            <w:tcW w:w="389" w:type="dxa"/>
            <w:shd w:val="clear" w:color="auto" w:fill="auto"/>
            <w:vAlign w:val="center"/>
          </w:tcPr>
          <w:p w14:paraId="2DCF5529" w14:textId="7787CB39" w:rsidR="00E86921" w:rsidRPr="00C7175F" w:rsidRDefault="00185F30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5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0602DC24" w14:textId="387CEB00" w:rsidR="00E86921" w:rsidRPr="00C7175F" w:rsidRDefault="00185F30" w:rsidP="00185F30">
            <w:pPr>
              <w:pStyle w:val="MDPI42tablebody"/>
              <w:spacing w:line="240" w:lineRule="auto"/>
              <w:jc w:val="left"/>
              <w:rPr>
                <w:rFonts w:ascii="Palatino" w:hAnsi="Palatino"/>
              </w:rPr>
            </w:pPr>
            <w:r w:rsidRPr="00C7175F">
              <w:rPr>
                <w:rFonts w:ascii="Palatino" w:hAnsi="Palatino"/>
                <w:lang w:val="en-CA"/>
              </w:rPr>
              <w:t>When only EC</w:t>
            </w:r>
            <w:r w:rsidRPr="00C7175F">
              <w:rPr>
                <w:rFonts w:ascii="Palatino" w:hAnsi="Palatino"/>
                <w:vertAlign w:val="subscript"/>
                <w:lang w:val="en-CA"/>
              </w:rPr>
              <w:t>50</w:t>
            </w:r>
            <w:r w:rsidRPr="00C7175F">
              <w:rPr>
                <w:rFonts w:ascii="Palatino" w:hAnsi="Palatino"/>
                <w:lang w:val="en-CA"/>
              </w:rPr>
              <w:t xml:space="preserve"> was reported (0), or a dose dependency curve was provided (1)</w:t>
            </w:r>
          </w:p>
        </w:tc>
      </w:tr>
      <w:tr w:rsidR="00E86921" w:rsidRPr="00C7175F" w14:paraId="68093978" w14:textId="77777777" w:rsidTr="00185F30">
        <w:trPr>
          <w:trHeight w:val="63"/>
        </w:trPr>
        <w:tc>
          <w:tcPr>
            <w:tcW w:w="389" w:type="dxa"/>
            <w:shd w:val="clear" w:color="auto" w:fill="auto"/>
            <w:vAlign w:val="center"/>
          </w:tcPr>
          <w:p w14:paraId="195428BC" w14:textId="2F95E9C7" w:rsidR="00E86921" w:rsidRPr="00C7175F" w:rsidRDefault="00185F30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6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4CAB708A" w14:textId="6ADF4662" w:rsidR="00E86921" w:rsidRPr="00C7175F" w:rsidRDefault="00185F30" w:rsidP="00185F30">
            <w:pPr>
              <w:pStyle w:val="MDPI51figurecaption"/>
              <w:ind w:left="0"/>
              <w:rPr>
                <w:rFonts w:ascii="Palatino" w:hAnsi="Palatino"/>
                <w:sz w:val="20"/>
              </w:rPr>
            </w:pPr>
            <w:r w:rsidRPr="00C7175F">
              <w:rPr>
                <w:rFonts w:ascii="Palatino" w:hAnsi="Palatino"/>
                <w:sz w:val="20"/>
              </w:rPr>
              <w:t>Whether the paper reported what was the measure of central tendency (e.g. mean, median) or spread (e.g. SD or SE) (1) or whether it was unclear (0)</w:t>
            </w:r>
          </w:p>
        </w:tc>
      </w:tr>
      <w:tr w:rsidR="00185F30" w:rsidRPr="00C7175F" w14:paraId="25E7257D" w14:textId="77777777" w:rsidTr="00185F30">
        <w:trPr>
          <w:trHeight w:val="63"/>
        </w:trPr>
        <w:tc>
          <w:tcPr>
            <w:tcW w:w="389" w:type="dxa"/>
            <w:shd w:val="clear" w:color="auto" w:fill="auto"/>
            <w:vAlign w:val="center"/>
          </w:tcPr>
          <w:p w14:paraId="18ED894A" w14:textId="25364811" w:rsidR="00185F30" w:rsidRPr="00C7175F" w:rsidRDefault="00185F30" w:rsidP="00D62C3C">
            <w:pPr>
              <w:pStyle w:val="MDPI42tablebody"/>
              <w:spacing w:line="240" w:lineRule="auto"/>
              <w:rPr>
                <w:rFonts w:ascii="Palatino" w:hAnsi="Palatino"/>
              </w:rPr>
            </w:pPr>
            <w:r w:rsidRPr="00C7175F">
              <w:rPr>
                <w:rFonts w:ascii="Palatino" w:hAnsi="Palatino"/>
              </w:rPr>
              <w:t>7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6BB8A6E2" w14:textId="339E4757" w:rsidR="00185F30" w:rsidRPr="00C7175F" w:rsidRDefault="00185F30" w:rsidP="009950FB">
            <w:pPr>
              <w:pStyle w:val="MDPI51figurecaption"/>
              <w:ind w:left="0"/>
              <w:rPr>
                <w:rFonts w:ascii="Palatino" w:hAnsi="Palatino"/>
                <w:sz w:val="20"/>
              </w:rPr>
            </w:pPr>
            <w:r w:rsidRPr="00C7175F">
              <w:rPr>
                <w:rFonts w:ascii="Palatino" w:hAnsi="Palatino"/>
                <w:sz w:val="20"/>
              </w:rPr>
              <w:t>Contains detailed information on whether cells were exposed to particular treatments (1) (CP/CPK, other antagonists etc.) or if some aspects were unclear (e.g. duration, concentration, application) (0)</w:t>
            </w:r>
          </w:p>
        </w:tc>
      </w:tr>
    </w:tbl>
    <w:p w14:paraId="181CEDDD" w14:textId="467F3B01" w:rsidR="009950FB" w:rsidRPr="00C7175F" w:rsidRDefault="009950FB" w:rsidP="009950FB">
      <w:pPr>
        <w:pStyle w:val="MDPI51figurecaption"/>
        <w:rPr>
          <w:rFonts w:ascii="Palatino" w:hAnsi="Palatino"/>
          <w:sz w:val="20"/>
          <w:lang w:val="en-CA"/>
        </w:rPr>
      </w:pPr>
      <w:r w:rsidRPr="00C7175F">
        <w:rPr>
          <w:rFonts w:ascii="Palatino" w:hAnsi="Palatino"/>
          <w:b/>
          <w:bCs/>
          <w:sz w:val="20"/>
          <w:lang w:val="en-CA"/>
        </w:rPr>
        <w:t>S3</w:t>
      </w:r>
      <w:r w:rsidRPr="00C7175F">
        <w:rPr>
          <w:rFonts w:ascii="Palatino" w:hAnsi="Palatino"/>
          <w:sz w:val="20"/>
          <w:lang w:val="en-CA"/>
        </w:rPr>
        <w:t xml:space="preserve">. </w:t>
      </w:r>
      <w:r w:rsidR="009B05D0" w:rsidRPr="00C7175F">
        <w:rPr>
          <w:rFonts w:ascii="Palatino" w:hAnsi="Palatino"/>
          <w:sz w:val="20"/>
          <w:lang w:val="en-CA"/>
        </w:rPr>
        <w:t xml:space="preserve">Study level effect sizes </w:t>
      </w:r>
      <w:r w:rsidR="00124102" w:rsidRPr="00C7175F">
        <w:rPr>
          <w:rFonts w:ascii="Palatino" w:hAnsi="Palatino"/>
          <w:sz w:val="20"/>
          <w:lang w:val="en-CA"/>
        </w:rPr>
        <w:t>(EC</w:t>
      </w:r>
      <w:r w:rsidR="00124102" w:rsidRPr="00C7175F">
        <w:rPr>
          <w:rFonts w:ascii="Palatino" w:hAnsi="Palatino"/>
          <w:sz w:val="20"/>
          <w:vertAlign w:val="subscript"/>
          <w:lang w:val="en-CA"/>
        </w:rPr>
        <w:t>50</w:t>
      </w:r>
      <w:r w:rsidR="00124102" w:rsidRPr="00C7175F">
        <w:rPr>
          <w:rFonts w:ascii="Palatino" w:hAnsi="Palatino"/>
          <w:sz w:val="20"/>
          <w:lang w:val="en-CA"/>
        </w:rPr>
        <w:t>/IC</w:t>
      </w:r>
      <w:r w:rsidR="00124102" w:rsidRPr="00C7175F">
        <w:rPr>
          <w:rFonts w:ascii="Palatino" w:hAnsi="Palatino"/>
          <w:sz w:val="20"/>
          <w:vertAlign w:val="subscript"/>
          <w:lang w:val="en-CA"/>
        </w:rPr>
        <w:t>50</w:t>
      </w:r>
      <w:r w:rsidR="00124102" w:rsidRPr="00C7175F">
        <w:rPr>
          <w:rFonts w:ascii="Palatino" w:hAnsi="Palatino"/>
          <w:sz w:val="20"/>
          <w:lang w:val="en-CA"/>
        </w:rPr>
        <w:t xml:space="preserve">) </w:t>
      </w:r>
      <w:r w:rsidR="00893D65" w:rsidRPr="00C7175F">
        <w:rPr>
          <w:rFonts w:ascii="Palatino" w:hAnsi="Palatino"/>
          <w:sz w:val="20"/>
          <w:lang w:val="en-CA"/>
        </w:rPr>
        <w:t xml:space="preserve">of the reported outcomes and subgroups in P2Y13-mediated events, </w:t>
      </w:r>
      <w:r w:rsidR="00A63381" w:rsidRPr="00C7175F">
        <w:rPr>
          <w:rFonts w:ascii="Palatino" w:hAnsi="Palatino"/>
          <w:sz w:val="20"/>
          <w:lang w:val="en-CA"/>
        </w:rPr>
        <w:t>and steepness (S) in the largest dataset of signa</w:t>
      </w:r>
      <w:r w:rsidR="00BF374E" w:rsidRPr="00C7175F">
        <w:rPr>
          <w:rFonts w:ascii="Palatino" w:hAnsi="Palatino"/>
          <w:sz w:val="20"/>
          <w:lang w:val="en-CA"/>
        </w:rPr>
        <w:t>ling outcomes (Ca</w:t>
      </w:r>
      <w:r w:rsidR="00BF374E" w:rsidRPr="00C7175F">
        <w:rPr>
          <w:rFonts w:ascii="Palatino" w:hAnsi="Palatino"/>
          <w:sz w:val="20"/>
          <w:vertAlign w:val="superscript"/>
          <w:lang w:val="en-CA"/>
        </w:rPr>
        <w:t>2+</w:t>
      </w:r>
      <w:r w:rsidR="00BF374E" w:rsidRPr="00C7175F">
        <w:rPr>
          <w:rFonts w:ascii="Palatino" w:hAnsi="Palatino"/>
          <w:sz w:val="20"/>
          <w:lang w:val="en-CA"/>
        </w:rPr>
        <w:t>/IP</w:t>
      </w:r>
      <w:r w:rsidR="00266186" w:rsidRPr="00C7175F">
        <w:rPr>
          <w:rFonts w:ascii="Palatino" w:hAnsi="Palatino"/>
          <w:sz w:val="20"/>
          <w:vertAlign w:val="subscript"/>
          <w:lang w:val="en-CA"/>
        </w:rPr>
        <w:t>3</w:t>
      </w:r>
      <w:r w:rsidR="00266186" w:rsidRPr="00C7175F">
        <w:rPr>
          <w:rFonts w:ascii="Palatino" w:hAnsi="Palatino"/>
          <w:sz w:val="20"/>
          <w:lang w:val="en-CA"/>
        </w:rPr>
        <w:t xml:space="preserve"> release)</w:t>
      </w:r>
      <w:r w:rsidR="00BF374E" w:rsidRPr="00C7175F">
        <w:rPr>
          <w:rFonts w:ascii="Palatino" w:hAnsi="Palatino"/>
          <w:sz w:val="20"/>
          <w:lang w:val="en-CA"/>
        </w:rPr>
        <w:t xml:space="preserve"> </w:t>
      </w:r>
    </w:p>
    <w:p w14:paraId="01060299" w14:textId="722180A6" w:rsidR="005A54BF" w:rsidRPr="00C7175F" w:rsidRDefault="006811EC" w:rsidP="009950FB">
      <w:pPr>
        <w:pStyle w:val="MDPI51figurecaption"/>
        <w:rPr>
          <w:rFonts w:ascii="Palatino" w:hAnsi="Palatino"/>
          <w:i/>
          <w:iCs/>
          <w:sz w:val="20"/>
          <w:lang w:val="en-CA"/>
        </w:rPr>
      </w:pPr>
      <w:r w:rsidRPr="00C7175F">
        <w:rPr>
          <w:rFonts w:ascii="Palatino" w:hAnsi="Palatino"/>
          <w:i/>
          <w:iCs/>
          <w:sz w:val="20"/>
          <w:lang w:val="en-CA"/>
        </w:rPr>
        <w:t xml:space="preserve">Please refer to the Excel document </w:t>
      </w:r>
      <w:r w:rsidR="00E2787D" w:rsidRPr="00C7175F">
        <w:rPr>
          <w:rFonts w:ascii="Palatino" w:hAnsi="Palatino"/>
          <w:i/>
          <w:iCs/>
          <w:sz w:val="20"/>
          <w:lang w:val="en-CA"/>
        </w:rPr>
        <w:t>“Table S3- EC</w:t>
      </w:r>
      <w:r w:rsidR="00E2787D" w:rsidRPr="00C7175F">
        <w:rPr>
          <w:rFonts w:ascii="Palatino" w:hAnsi="Palatino"/>
          <w:i/>
          <w:iCs/>
          <w:sz w:val="20"/>
          <w:vertAlign w:val="subscript"/>
          <w:lang w:val="en-CA"/>
        </w:rPr>
        <w:t>50</w:t>
      </w:r>
      <w:r w:rsidR="00E2787D" w:rsidRPr="00C7175F">
        <w:rPr>
          <w:rFonts w:ascii="Palatino" w:hAnsi="Palatino"/>
          <w:i/>
          <w:iCs/>
          <w:sz w:val="20"/>
          <w:lang w:val="en-CA"/>
        </w:rPr>
        <w:t xml:space="preserve"> and steepness”</w:t>
      </w:r>
    </w:p>
    <w:p w14:paraId="4B9F1B28" w14:textId="77777777" w:rsidR="00E86921" w:rsidRPr="00C7175F" w:rsidRDefault="00E86921" w:rsidP="007D20EF">
      <w:pPr>
        <w:pStyle w:val="MDPI51figurecaption"/>
        <w:rPr>
          <w:rFonts w:ascii="Palatino" w:hAnsi="Palatino"/>
          <w:sz w:val="20"/>
          <w:lang w:val="en-CA"/>
        </w:rPr>
      </w:pPr>
    </w:p>
    <w:p w14:paraId="62AEBDB7" w14:textId="0FF1B50D" w:rsidR="00991827" w:rsidRPr="00C7175F" w:rsidRDefault="00991827" w:rsidP="00185F30">
      <w:pPr>
        <w:pStyle w:val="MDPI51figurecaption"/>
        <w:ind w:left="360"/>
        <w:rPr>
          <w:rFonts w:ascii="Palatino" w:hAnsi="Palatino"/>
          <w:sz w:val="20"/>
        </w:rPr>
      </w:pPr>
      <w:r w:rsidRPr="00C7175F">
        <w:rPr>
          <w:rFonts w:ascii="Palatino" w:hAnsi="Palatino"/>
          <w:sz w:val="20"/>
        </w:rPr>
        <w:tab/>
      </w:r>
    </w:p>
    <w:p w14:paraId="64B0FC6E" w14:textId="22BC27CF" w:rsidR="00991827" w:rsidRPr="00C7175F" w:rsidRDefault="00991827" w:rsidP="00185F30">
      <w:pPr>
        <w:pStyle w:val="MDPI51figurecaption"/>
        <w:ind w:left="360"/>
        <w:rPr>
          <w:rFonts w:ascii="Palatino" w:hAnsi="Palatino"/>
          <w:sz w:val="20"/>
        </w:rPr>
      </w:pPr>
      <w:r w:rsidRPr="00C7175F">
        <w:rPr>
          <w:rFonts w:ascii="Palatino" w:hAnsi="Palatino"/>
          <w:sz w:val="20"/>
        </w:rPr>
        <w:tab/>
      </w:r>
    </w:p>
    <w:p w14:paraId="11010D5D" w14:textId="77777777" w:rsidR="00991827" w:rsidRPr="00C7175F" w:rsidRDefault="00991827" w:rsidP="007D20EF">
      <w:pPr>
        <w:pStyle w:val="MDPI51figurecaption"/>
        <w:rPr>
          <w:rFonts w:ascii="Palatino" w:hAnsi="Palatino"/>
          <w:sz w:val="20"/>
          <w:lang w:val="en-CA"/>
        </w:rPr>
      </w:pPr>
    </w:p>
    <w:p w14:paraId="56848042" w14:textId="77777777" w:rsidR="007D20EF" w:rsidRPr="00C7175F" w:rsidRDefault="007D20EF" w:rsidP="00B31DE8">
      <w:pPr>
        <w:pStyle w:val="MDPI51figurecaption"/>
        <w:rPr>
          <w:rFonts w:ascii="Palatino" w:hAnsi="Palatino"/>
          <w:sz w:val="20"/>
        </w:rPr>
      </w:pPr>
    </w:p>
    <w:p w14:paraId="3D36038B" w14:textId="77777777" w:rsidR="00BD3FE5" w:rsidRPr="00C7175F" w:rsidRDefault="00BD3FE5" w:rsidP="00B97426">
      <w:pPr>
        <w:pStyle w:val="MDPI51figurecaption"/>
        <w:rPr>
          <w:rFonts w:ascii="Palatino" w:hAnsi="Palatino"/>
          <w:sz w:val="20"/>
          <w:lang w:val="en-CA"/>
        </w:rPr>
      </w:pPr>
    </w:p>
    <w:sectPr w:rsidR="00BD3FE5" w:rsidRPr="00C7175F" w:rsidSect="006304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altName w:val="﷽﷽﷽﷽﷽﷽﷽﷽iqua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180EF5"/>
    <w:multiLevelType w:val="hybridMultilevel"/>
    <w:tmpl w:val="13DE7D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433AEF"/>
    <w:multiLevelType w:val="hybridMultilevel"/>
    <w:tmpl w:val="D65C1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E9"/>
    <w:rsid w:val="000042E9"/>
    <w:rsid w:val="000151B7"/>
    <w:rsid w:val="00024D12"/>
    <w:rsid w:val="00052960"/>
    <w:rsid w:val="0006358D"/>
    <w:rsid w:val="000764A8"/>
    <w:rsid w:val="000846A0"/>
    <w:rsid w:val="0009398F"/>
    <w:rsid w:val="000A3E62"/>
    <w:rsid w:val="000B31A4"/>
    <w:rsid w:val="000B3C0F"/>
    <w:rsid w:val="000B4862"/>
    <w:rsid w:val="000C6DD0"/>
    <w:rsid w:val="000D77B1"/>
    <w:rsid w:val="00102A0C"/>
    <w:rsid w:val="0012384A"/>
    <w:rsid w:val="00124102"/>
    <w:rsid w:val="0013044A"/>
    <w:rsid w:val="0013493A"/>
    <w:rsid w:val="0015168A"/>
    <w:rsid w:val="00162CFF"/>
    <w:rsid w:val="00165995"/>
    <w:rsid w:val="00177912"/>
    <w:rsid w:val="00185F30"/>
    <w:rsid w:val="001A12BE"/>
    <w:rsid w:val="001A3C77"/>
    <w:rsid w:val="001B2D3F"/>
    <w:rsid w:val="001C09B6"/>
    <w:rsid w:val="001C3C48"/>
    <w:rsid w:val="001C3D8E"/>
    <w:rsid w:val="001C6CCA"/>
    <w:rsid w:val="001E538C"/>
    <w:rsid w:val="00203144"/>
    <w:rsid w:val="002047FD"/>
    <w:rsid w:val="00210380"/>
    <w:rsid w:val="00212906"/>
    <w:rsid w:val="00212A54"/>
    <w:rsid w:val="00213510"/>
    <w:rsid w:val="00216F68"/>
    <w:rsid w:val="002423C3"/>
    <w:rsid w:val="002424A2"/>
    <w:rsid w:val="00257E97"/>
    <w:rsid w:val="00266186"/>
    <w:rsid w:val="00267A44"/>
    <w:rsid w:val="0027102D"/>
    <w:rsid w:val="0027235F"/>
    <w:rsid w:val="00286DB6"/>
    <w:rsid w:val="002A4E2F"/>
    <w:rsid w:val="002C0E6B"/>
    <w:rsid w:val="002E4B27"/>
    <w:rsid w:val="002E775F"/>
    <w:rsid w:val="002F4687"/>
    <w:rsid w:val="002F4B8D"/>
    <w:rsid w:val="002F54C4"/>
    <w:rsid w:val="00317395"/>
    <w:rsid w:val="00320FC9"/>
    <w:rsid w:val="003433E9"/>
    <w:rsid w:val="0035422D"/>
    <w:rsid w:val="0036643F"/>
    <w:rsid w:val="003767D8"/>
    <w:rsid w:val="00387C36"/>
    <w:rsid w:val="0039346D"/>
    <w:rsid w:val="003A6064"/>
    <w:rsid w:val="003C2883"/>
    <w:rsid w:val="003C592E"/>
    <w:rsid w:val="003D1162"/>
    <w:rsid w:val="003F023B"/>
    <w:rsid w:val="00407B62"/>
    <w:rsid w:val="00424C10"/>
    <w:rsid w:val="004253D7"/>
    <w:rsid w:val="00443B6B"/>
    <w:rsid w:val="00444567"/>
    <w:rsid w:val="0045146C"/>
    <w:rsid w:val="00472CA2"/>
    <w:rsid w:val="00475E02"/>
    <w:rsid w:val="004924E5"/>
    <w:rsid w:val="004B2DD7"/>
    <w:rsid w:val="004D1735"/>
    <w:rsid w:val="004E2E2C"/>
    <w:rsid w:val="004E78A2"/>
    <w:rsid w:val="004F5837"/>
    <w:rsid w:val="004F5F88"/>
    <w:rsid w:val="005315B1"/>
    <w:rsid w:val="00532DBF"/>
    <w:rsid w:val="00555CBB"/>
    <w:rsid w:val="005839CB"/>
    <w:rsid w:val="00583C49"/>
    <w:rsid w:val="005A54BF"/>
    <w:rsid w:val="005C2B1E"/>
    <w:rsid w:val="005C318F"/>
    <w:rsid w:val="005D5753"/>
    <w:rsid w:val="005E234F"/>
    <w:rsid w:val="005E77AB"/>
    <w:rsid w:val="005F6F94"/>
    <w:rsid w:val="00602924"/>
    <w:rsid w:val="00616E58"/>
    <w:rsid w:val="006276D9"/>
    <w:rsid w:val="00630474"/>
    <w:rsid w:val="00631E2A"/>
    <w:rsid w:val="0068094B"/>
    <w:rsid w:val="006811EC"/>
    <w:rsid w:val="006A6A24"/>
    <w:rsid w:val="006B1E11"/>
    <w:rsid w:val="006C1428"/>
    <w:rsid w:val="006D2ADD"/>
    <w:rsid w:val="006D588E"/>
    <w:rsid w:val="006E32C1"/>
    <w:rsid w:val="00701752"/>
    <w:rsid w:val="00702833"/>
    <w:rsid w:val="007305CB"/>
    <w:rsid w:val="00737E1C"/>
    <w:rsid w:val="0075392B"/>
    <w:rsid w:val="007541D7"/>
    <w:rsid w:val="00765577"/>
    <w:rsid w:val="00766FF3"/>
    <w:rsid w:val="0077709F"/>
    <w:rsid w:val="00777C19"/>
    <w:rsid w:val="007A151D"/>
    <w:rsid w:val="007A1769"/>
    <w:rsid w:val="007B290D"/>
    <w:rsid w:val="007B461F"/>
    <w:rsid w:val="007B54D2"/>
    <w:rsid w:val="007D20EF"/>
    <w:rsid w:val="007D682D"/>
    <w:rsid w:val="007E0806"/>
    <w:rsid w:val="00811529"/>
    <w:rsid w:val="0081601F"/>
    <w:rsid w:val="00837306"/>
    <w:rsid w:val="00842883"/>
    <w:rsid w:val="00853030"/>
    <w:rsid w:val="00864A0C"/>
    <w:rsid w:val="00865809"/>
    <w:rsid w:val="00891AC5"/>
    <w:rsid w:val="00893D65"/>
    <w:rsid w:val="00897638"/>
    <w:rsid w:val="008B6D68"/>
    <w:rsid w:val="008E2AB1"/>
    <w:rsid w:val="008E737C"/>
    <w:rsid w:val="008F6949"/>
    <w:rsid w:val="00906E90"/>
    <w:rsid w:val="009166EE"/>
    <w:rsid w:val="0091775E"/>
    <w:rsid w:val="009220B4"/>
    <w:rsid w:val="00931691"/>
    <w:rsid w:val="00946F9A"/>
    <w:rsid w:val="00990D3B"/>
    <w:rsid w:val="00991827"/>
    <w:rsid w:val="009950FB"/>
    <w:rsid w:val="009B05D0"/>
    <w:rsid w:val="009C3A39"/>
    <w:rsid w:val="009C4ACE"/>
    <w:rsid w:val="009C70FA"/>
    <w:rsid w:val="009D2925"/>
    <w:rsid w:val="009E1363"/>
    <w:rsid w:val="009F3F45"/>
    <w:rsid w:val="009F6B3C"/>
    <w:rsid w:val="00A21E92"/>
    <w:rsid w:val="00A32C71"/>
    <w:rsid w:val="00A445C5"/>
    <w:rsid w:val="00A50136"/>
    <w:rsid w:val="00A63381"/>
    <w:rsid w:val="00A73B67"/>
    <w:rsid w:val="00A8064A"/>
    <w:rsid w:val="00AB1C0E"/>
    <w:rsid w:val="00AE2AD8"/>
    <w:rsid w:val="00AE3614"/>
    <w:rsid w:val="00B15698"/>
    <w:rsid w:val="00B21EA6"/>
    <w:rsid w:val="00B259BC"/>
    <w:rsid w:val="00B31DE8"/>
    <w:rsid w:val="00B3513A"/>
    <w:rsid w:val="00B610A2"/>
    <w:rsid w:val="00B85C27"/>
    <w:rsid w:val="00B97426"/>
    <w:rsid w:val="00B975B8"/>
    <w:rsid w:val="00BA1FD2"/>
    <w:rsid w:val="00BA61F1"/>
    <w:rsid w:val="00BC10DA"/>
    <w:rsid w:val="00BD3FE5"/>
    <w:rsid w:val="00BD42DC"/>
    <w:rsid w:val="00BF374E"/>
    <w:rsid w:val="00BF683B"/>
    <w:rsid w:val="00C03BCA"/>
    <w:rsid w:val="00C166B1"/>
    <w:rsid w:val="00C24BEE"/>
    <w:rsid w:val="00C2633A"/>
    <w:rsid w:val="00C3397F"/>
    <w:rsid w:val="00C379BC"/>
    <w:rsid w:val="00C4560A"/>
    <w:rsid w:val="00C47A56"/>
    <w:rsid w:val="00C7175F"/>
    <w:rsid w:val="00C7215B"/>
    <w:rsid w:val="00CC275B"/>
    <w:rsid w:val="00CF0B3A"/>
    <w:rsid w:val="00CF725B"/>
    <w:rsid w:val="00D038B7"/>
    <w:rsid w:val="00D03A9B"/>
    <w:rsid w:val="00D115E2"/>
    <w:rsid w:val="00D2351B"/>
    <w:rsid w:val="00D243F6"/>
    <w:rsid w:val="00D443F8"/>
    <w:rsid w:val="00D563A4"/>
    <w:rsid w:val="00D5784D"/>
    <w:rsid w:val="00D81537"/>
    <w:rsid w:val="00D9466A"/>
    <w:rsid w:val="00DB34E1"/>
    <w:rsid w:val="00DC064F"/>
    <w:rsid w:val="00DC2983"/>
    <w:rsid w:val="00DC5B6C"/>
    <w:rsid w:val="00DE2165"/>
    <w:rsid w:val="00DF2656"/>
    <w:rsid w:val="00DF6675"/>
    <w:rsid w:val="00E23F1F"/>
    <w:rsid w:val="00E26108"/>
    <w:rsid w:val="00E26762"/>
    <w:rsid w:val="00E27830"/>
    <w:rsid w:val="00E2787D"/>
    <w:rsid w:val="00E36E36"/>
    <w:rsid w:val="00E40421"/>
    <w:rsid w:val="00E86921"/>
    <w:rsid w:val="00EA67B6"/>
    <w:rsid w:val="00EA77CE"/>
    <w:rsid w:val="00EC018C"/>
    <w:rsid w:val="00EE6AA2"/>
    <w:rsid w:val="00EF2121"/>
    <w:rsid w:val="00F0794A"/>
    <w:rsid w:val="00F12E60"/>
    <w:rsid w:val="00F14C71"/>
    <w:rsid w:val="00F2048A"/>
    <w:rsid w:val="00F4673B"/>
    <w:rsid w:val="00F5214F"/>
    <w:rsid w:val="00F52977"/>
    <w:rsid w:val="00F95DCE"/>
    <w:rsid w:val="00FC29FB"/>
    <w:rsid w:val="00FC4EE3"/>
    <w:rsid w:val="00FD1FF2"/>
    <w:rsid w:val="00FF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6AB534"/>
  <w15:chartTrackingRefBased/>
  <w15:docId w15:val="{95648B6E-249C-2C46-9E8D-E0AD7042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basedOn w:val="Normal"/>
    <w:qFormat/>
    <w:rsid w:val="00A21E92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41tablecaption">
    <w:name w:val="MDPI_4.1_table_caption"/>
    <w:basedOn w:val="Normal"/>
    <w:qFormat/>
    <w:rsid w:val="0015168A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15168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15168A"/>
    <w:pPr>
      <w:spacing w:before="0"/>
      <w:ind w:left="0" w:right="0"/>
    </w:pPr>
  </w:style>
  <w:style w:type="paragraph" w:customStyle="1" w:styleId="MDPI12title">
    <w:name w:val="MDPI_1.2_title"/>
    <w:next w:val="Normal"/>
    <w:qFormat/>
    <w:rsid w:val="00D443F8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D443F8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D443F8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D443F8"/>
    <w:pPr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Hyperlink">
    <w:name w:val="Hyperlink"/>
    <w:basedOn w:val="DefaultParagraphFont"/>
    <w:uiPriority w:val="99"/>
    <w:unhideWhenUsed/>
    <w:rsid w:val="00D443F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88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88E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52977"/>
    <w:rPr>
      <w:color w:val="605E5C"/>
      <w:shd w:val="clear" w:color="auto" w:fill="E1DFDD"/>
    </w:rPr>
  </w:style>
  <w:style w:type="character" w:styleId="CommentReference">
    <w:name w:val="annotation reference"/>
    <w:rsid w:val="00842883"/>
    <w:rPr>
      <w:sz w:val="21"/>
      <w:szCs w:val="21"/>
    </w:rPr>
  </w:style>
  <w:style w:type="paragraph" w:styleId="CommentText">
    <w:name w:val="annotation text"/>
    <w:basedOn w:val="Normal"/>
    <w:link w:val="CommentTextChar"/>
    <w:rsid w:val="00842883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rsid w:val="00842883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vetlana.komarova@mcgill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Chrisanne Dsouza</dc:creator>
  <cp:keywords/>
  <dc:description/>
  <cp:lastModifiedBy>Chrisanne Dsouza</cp:lastModifiedBy>
  <cp:revision>142</cp:revision>
  <dcterms:created xsi:type="dcterms:W3CDTF">2020-07-30T14:39:00Z</dcterms:created>
  <dcterms:modified xsi:type="dcterms:W3CDTF">2021-03-26T18:09:00Z</dcterms:modified>
</cp:coreProperties>
</file>