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6636B" w14:textId="77777777" w:rsidR="005678CA" w:rsidRPr="00DF4D82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14:paraId="31B0E088" w14:textId="77777777" w:rsidR="0097465D" w:rsidRPr="00DF4D82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  <w:r w:rsidRPr="00DF4D82">
        <w:rPr>
          <w:b/>
          <w:i w:val="0"/>
          <w:szCs w:val="20"/>
        </w:rPr>
        <w:t xml:space="preserve">Supplementary Material, </w:t>
      </w:r>
      <w:r w:rsidR="006D7B5D" w:rsidRPr="00DF4D82">
        <w:rPr>
          <w:b/>
          <w:i w:val="0"/>
          <w:szCs w:val="20"/>
        </w:rPr>
        <w:t>Table</w:t>
      </w:r>
      <w:r w:rsidRPr="00DF4D82">
        <w:rPr>
          <w:b/>
          <w:i w:val="0"/>
          <w:szCs w:val="20"/>
        </w:rPr>
        <w:t xml:space="preserve"> S</w:t>
      </w:r>
      <w:r w:rsidR="006D7B5D" w:rsidRPr="00DF4D82">
        <w:rPr>
          <w:b/>
          <w:i w:val="0"/>
          <w:szCs w:val="20"/>
        </w:rPr>
        <w:t>1</w:t>
      </w:r>
    </w:p>
    <w:p w14:paraId="69A2812B" w14:textId="77777777" w:rsidR="00C30928" w:rsidRPr="00DF4D82" w:rsidRDefault="00C30928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14:paraId="1A423E91" w14:textId="77777777" w:rsidR="006D7B5D" w:rsidRPr="00DF4D82" w:rsidRDefault="006D7B5D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14:paraId="7A670262" w14:textId="77777777" w:rsidR="005678CA" w:rsidRPr="00DF4D82" w:rsidRDefault="005678CA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14:paraId="5CD37544" w14:textId="77777777" w:rsidR="006D7B5D" w:rsidRPr="00DF4D82" w:rsidRDefault="006D7B5D" w:rsidP="006D7B5D">
      <w:pPr>
        <w:rPr>
          <w:rFonts w:ascii="Palatino Linotype" w:hAnsi="Palatino Linotype"/>
          <w:b/>
          <w:sz w:val="20"/>
          <w:lang w:val="en-US"/>
        </w:rPr>
      </w:pPr>
      <w:r w:rsidRPr="00DF4D82">
        <w:rPr>
          <w:rFonts w:ascii="Palatino Linotype" w:hAnsi="Palatino Linotype"/>
          <w:b/>
          <w:sz w:val="20"/>
          <w:lang w:val="en-US"/>
        </w:rPr>
        <w:t>Table S1:</w:t>
      </w:r>
      <w:r w:rsidRPr="00DF4D82">
        <w:rPr>
          <w:rFonts w:ascii="Palatino Linotype" w:hAnsi="Palatino Linotype"/>
          <w:sz w:val="20"/>
          <w:lang w:val="en-US"/>
        </w:rPr>
        <w:t xml:space="preserve"> NMR restraints and refinement statistics for GIPC1-GH2 solution structures</w:t>
      </w:r>
      <w:r w:rsidRPr="00DF4D82">
        <w:rPr>
          <w:rFonts w:ascii="Palatino Linotype" w:hAnsi="Palatino Linotype"/>
          <w:b/>
          <w:sz w:val="20"/>
          <w:lang w:val="en-US"/>
        </w:rPr>
        <w:t xml:space="preserve"> </w:t>
      </w:r>
    </w:p>
    <w:p w14:paraId="3746A1B9" w14:textId="77777777" w:rsidR="006D7B5D" w:rsidRPr="00DF4D82" w:rsidRDefault="006D7B5D" w:rsidP="006D7B5D">
      <w:pPr>
        <w:rPr>
          <w:rFonts w:ascii="Palatino Linotype" w:hAnsi="Palatino Linotype"/>
          <w:sz w:val="20"/>
          <w:lang w:val="en-US"/>
        </w:rPr>
      </w:pPr>
    </w:p>
    <w:tbl>
      <w:tblPr>
        <w:tblW w:w="6681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4774"/>
        <w:gridCol w:w="1907"/>
      </w:tblGrid>
      <w:tr w:rsidR="006D7B5D" w:rsidRPr="00DF4D82" w14:paraId="5F604955" w14:textId="77777777" w:rsidTr="008D55E1">
        <w:tc>
          <w:tcPr>
            <w:tcW w:w="4774" w:type="dxa"/>
            <w:tcBorders>
              <w:bottom w:val="single" w:sz="6" w:space="0" w:color="008000"/>
            </w:tcBorders>
          </w:tcPr>
          <w:p w14:paraId="2BB6FEE4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07" w:type="dxa"/>
            <w:tcBorders>
              <w:bottom w:val="single" w:sz="6" w:space="0" w:color="008000"/>
            </w:tcBorders>
          </w:tcPr>
          <w:p w14:paraId="265D2BA6" w14:textId="77777777" w:rsidR="006D7B5D" w:rsidRPr="00DF4D82" w:rsidRDefault="006D7B5D" w:rsidP="008D55E1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proofErr w:type="spellStart"/>
            <w:r w:rsidRPr="00DF4D82">
              <w:rPr>
                <w:rFonts w:ascii="Palatino Linotype" w:hAnsi="Palatino Linotype"/>
                <w:b/>
                <w:sz w:val="20"/>
              </w:rPr>
              <w:t>Protein</w:t>
            </w:r>
            <w:proofErr w:type="spellEnd"/>
          </w:p>
        </w:tc>
      </w:tr>
      <w:tr w:rsidR="006D7B5D" w:rsidRPr="00DF4D82" w14:paraId="764CC689" w14:textId="77777777" w:rsidTr="008D55E1">
        <w:tc>
          <w:tcPr>
            <w:tcW w:w="4774" w:type="dxa"/>
            <w:tcBorders>
              <w:top w:val="single" w:sz="6" w:space="0" w:color="008000"/>
            </w:tcBorders>
          </w:tcPr>
          <w:p w14:paraId="0BEA2D68" w14:textId="77777777" w:rsidR="006D7B5D" w:rsidRPr="00DF4D82" w:rsidRDefault="006D7B5D" w:rsidP="008D55E1">
            <w:pPr>
              <w:rPr>
                <w:rFonts w:ascii="Palatino Linotype" w:hAnsi="Palatino Linotype"/>
                <w:b/>
                <w:i/>
                <w:color w:val="FF0000"/>
                <w:sz w:val="20"/>
                <w:lang w:val="en-US"/>
              </w:rPr>
            </w:pPr>
            <w:r w:rsidRPr="00DF4D82">
              <w:rPr>
                <w:rFonts w:ascii="Palatino Linotype" w:hAnsi="Palatino Linotype"/>
                <w:b/>
                <w:sz w:val="20"/>
                <w:lang w:val="en-US"/>
              </w:rPr>
              <w:t>NMR distance and dihedral constraints</w:t>
            </w:r>
          </w:p>
        </w:tc>
        <w:tc>
          <w:tcPr>
            <w:tcW w:w="1907" w:type="dxa"/>
            <w:tcBorders>
              <w:top w:val="single" w:sz="6" w:space="0" w:color="008000"/>
            </w:tcBorders>
          </w:tcPr>
          <w:p w14:paraId="31DC94FF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6D7B5D" w:rsidRPr="00DF4D82" w14:paraId="1EC86C58" w14:textId="77777777" w:rsidTr="008D55E1">
        <w:tc>
          <w:tcPr>
            <w:tcW w:w="4774" w:type="dxa"/>
          </w:tcPr>
          <w:p w14:paraId="7A69760B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Distance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constraints</w:t>
            </w:r>
            <w:proofErr w:type="spellEnd"/>
          </w:p>
        </w:tc>
        <w:tc>
          <w:tcPr>
            <w:tcW w:w="1907" w:type="dxa"/>
          </w:tcPr>
          <w:p w14:paraId="3AE28300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</w:p>
        </w:tc>
      </w:tr>
      <w:tr w:rsidR="006D7B5D" w:rsidRPr="00DF4D82" w14:paraId="57919BA2" w14:textId="77777777" w:rsidTr="008D55E1">
        <w:tc>
          <w:tcPr>
            <w:tcW w:w="4774" w:type="dxa"/>
          </w:tcPr>
          <w:p w14:paraId="09F1418A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Total NOE</w:t>
            </w:r>
          </w:p>
        </w:tc>
        <w:tc>
          <w:tcPr>
            <w:tcW w:w="1907" w:type="dxa"/>
          </w:tcPr>
          <w:p w14:paraId="076C0F3F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1219</w:t>
            </w:r>
          </w:p>
        </w:tc>
      </w:tr>
      <w:tr w:rsidR="006D7B5D" w:rsidRPr="00DF4D82" w14:paraId="23EAB3FA" w14:textId="77777777" w:rsidTr="008D55E1">
        <w:tc>
          <w:tcPr>
            <w:tcW w:w="4774" w:type="dxa"/>
          </w:tcPr>
          <w:p w14:paraId="080C7517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Intra-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residue</w:t>
            </w:r>
            <w:proofErr w:type="spellEnd"/>
          </w:p>
        </w:tc>
        <w:tc>
          <w:tcPr>
            <w:tcW w:w="1907" w:type="dxa"/>
          </w:tcPr>
          <w:p w14:paraId="60F4A1A9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281</w:t>
            </w:r>
          </w:p>
        </w:tc>
      </w:tr>
      <w:tr w:rsidR="006D7B5D" w:rsidRPr="00DF4D82" w14:paraId="2AF62935" w14:textId="77777777" w:rsidTr="008D55E1">
        <w:tc>
          <w:tcPr>
            <w:tcW w:w="4774" w:type="dxa"/>
          </w:tcPr>
          <w:p w14:paraId="7E0740A7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Inter-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residue</w:t>
            </w:r>
            <w:proofErr w:type="spellEnd"/>
          </w:p>
        </w:tc>
        <w:tc>
          <w:tcPr>
            <w:tcW w:w="1907" w:type="dxa"/>
          </w:tcPr>
          <w:p w14:paraId="774847C4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</w:p>
        </w:tc>
      </w:tr>
      <w:tr w:rsidR="006D7B5D" w:rsidRPr="00DF4D82" w14:paraId="0B56B648" w14:textId="77777777" w:rsidTr="008D55E1">
        <w:tc>
          <w:tcPr>
            <w:tcW w:w="4774" w:type="dxa"/>
          </w:tcPr>
          <w:p w14:paraId="4097AB99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 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Sequential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(|</w:t>
            </w:r>
            <w:r w:rsidRPr="00DF4D82">
              <w:rPr>
                <w:rFonts w:ascii="Palatino Linotype" w:hAnsi="Palatino Linotype"/>
                <w:i/>
                <w:sz w:val="20"/>
              </w:rPr>
              <w:t>i</w:t>
            </w:r>
            <w:r w:rsidRPr="00DF4D82">
              <w:rPr>
                <w:rFonts w:ascii="Palatino Linotype" w:hAnsi="Palatino Linotype"/>
                <w:sz w:val="20"/>
              </w:rPr>
              <w:t xml:space="preserve"> – </w:t>
            </w:r>
            <w:r w:rsidRPr="00DF4D82">
              <w:rPr>
                <w:rFonts w:ascii="Palatino Linotype" w:hAnsi="Palatino Linotype"/>
                <w:i/>
                <w:sz w:val="20"/>
              </w:rPr>
              <w:t>j</w:t>
            </w:r>
            <w:r w:rsidRPr="00DF4D82">
              <w:rPr>
                <w:rFonts w:ascii="Palatino Linotype" w:hAnsi="Palatino Linotype"/>
                <w:sz w:val="20"/>
              </w:rPr>
              <w:t>| = 1)</w:t>
            </w:r>
          </w:p>
        </w:tc>
        <w:tc>
          <w:tcPr>
            <w:tcW w:w="1907" w:type="dxa"/>
          </w:tcPr>
          <w:p w14:paraId="159EE227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352</w:t>
            </w:r>
          </w:p>
        </w:tc>
      </w:tr>
      <w:tr w:rsidR="006D7B5D" w:rsidRPr="00DF4D82" w14:paraId="5F73ECD6" w14:textId="77777777" w:rsidTr="008D55E1">
        <w:tc>
          <w:tcPr>
            <w:tcW w:w="4774" w:type="dxa"/>
          </w:tcPr>
          <w:p w14:paraId="189B9FE8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  Medium-range (|</w:t>
            </w:r>
            <w:r w:rsidRPr="00DF4D82">
              <w:rPr>
                <w:rFonts w:ascii="Palatino Linotype" w:hAnsi="Palatino Linotype"/>
                <w:i/>
                <w:sz w:val="20"/>
              </w:rPr>
              <w:t>i</w:t>
            </w:r>
            <w:r w:rsidRPr="00DF4D82">
              <w:rPr>
                <w:rFonts w:ascii="Palatino Linotype" w:hAnsi="Palatino Linotype"/>
                <w:sz w:val="20"/>
              </w:rPr>
              <w:t xml:space="preserve"> – </w:t>
            </w:r>
            <w:r w:rsidRPr="00DF4D82">
              <w:rPr>
                <w:rFonts w:ascii="Palatino Linotype" w:hAnsi="Palatino Linotype"/>
                <w:i/>
                <w:sz w:val="20"/>
              </w:rPr>
              <w:t>j</w:t>
            </w:r>
            <w:r w:rsidRPr="00DF4D82">
              <w:rPr>
                <w:rFonts w:ascii="Palatino Linotype" w:hAnsi="Palatino Linotype"/>
                <w:sz w:val="20"/>
              </w:rPr>
              <w:t>| &lt; 4)</w:t>
            </w:r>
          </w:p>
        </w:tc>
        <w:tc>
          <w:tcPr>
            <w:tcW w:w="1907" w:type="dxa"/>
          </w:tcPr>
          <w:p w14:paraId="25524027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349</w:t>
            </w:r>
          </w:p>
        </w:tc>
      </w:tr>
      <w:tr w:rsidR="006D7B5D" w:rsidRPr="00DF4D82" w14:paraId="7496E7A5" w14:textId="77777777" w:rsidTr="008D55E1">
        <w:tc>
          <w:tcPr>
            <w:tcW w:w="4774" w:type="dxa"/>
          </w:tcPr>
          <w:p w14:paraId="7D51B152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  Long-range (|</w:t>
            </w:r>
            <w:r w:rsidRPr="00DF4D82">
              <w:rPr>
                <w:rFonts w:ascii="Palatino Linotype" w:hAnsi="Palatino Linotype"/>
                <w:i/>
                <w:sz w:val="20"/>
              </w:rPr>
              <w:t>i</w:t>
            </w:r>
            <w:r w:rsidRPr="00DF4D82">
              <w:rPr>
                <w:rFonts w:ascii="Palatino Linotype" w:hAnsi="Palatino Linotype"/>
                <w:sz w:val="20"/>
              </w:rPr>
              <w:t xml:space="preserve"> – </w:t>
            </w:r>
            <w:r w:rsidRPr="00DF4D82">
              <w:rPr>
                <w:rFonts w:ascii="Palatino Linotype" w:hAnsi="Palatino Linotype"/>
                <w:i/>
                <w:sz w:val="20"/>
              </w:rPr>
              <w:t>j</w:t>
            </w:r>
            <w:r w:rsidRPr="00DF4D82">
              <w:rPr>
                <w:rFonts w:ascii="Palatino Linotype" w:hAnsi="Palatino Linotype"/>
                <w:sz w:val="20"/>
              </w:rPr>
              <w:t>| &gt; 5)</w:t>
            </w:r>
          </w:p>
        </w:tc>
        <w:tc>
          <w:tcPr>
            <w:tcW w:w="1907" w:type="dxa"/>
          </w:tcPr>
          <w:p w14:paraId="420C7FFD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237</w:t>
            </w:r>
          </w:p>
        </w:tc>
      </w:tr>
      <w:tr w:rsidR="006D7B5D" w:rsidRPr="00DF4D82" w14:paraId="593F3F86" w14:textId="77777777" w:rsidTr="008D55E1">
        <w:tc>
          <w:tcPr>
            <w:tcW w:w="4774" w:type="dxa"/>
          </w:tcPr>
          <w:p w14:paraId="5C41A3DE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Hydrogen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bonds</w:t>
            </w:r>
          </w:p>
        </w:tc>
        <w:tc>
          <w:tcPr>
            <w:tcW w:w="1907" w:type="dxa"/>
          </w:tcPr>
          <w:p w14:paraId="5D387076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88</w:t>
            </w:r>
          </w:p>
        </w:tc>
      </w:tr>
      <w:tr w:rsidR="006D7B5D" w:rsidRPr="00DF4D82" w14:paraId="5E064196" w14:textId="77777777" w:rsidTr="008D55E1">
        <w:tc>
          <w:tcPr>
            <w:tcW w:w="4774" w:type="dxa"/>
          </w:tcPr>
          <w:p w14:paraId="6A74DDA8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Total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dihedral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angle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restraints</w:t>
            </w:r>
            <w:proofErr w:type="spellEnd"/>
          </w:p>
        </w:tc>
        <w:tc>
          <w:tcPr>
            <w:tcW w:w="1907" w:type="dxa"/>
          </w:tcPr>
          <w:p w14:paraId="2068580A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</w:p>
        </w:tc>
      </w:tr>
      <w:tr w:rsidR="006D7B5D" w:rsidRPr="00DF4D82" w14:paraId="337BEFFA" w14:textId="77777777" w:rsidTr="008D55E1">
        <w:tc>
          <w:tcPr>
            <w:tcW w:w="4774" w:type="dxa"/>
          </w:tcPr>
          <w:p w14:paraId="310EFC0C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  <w:r w:rsidRPr="00DF4D82">
              <w:rPr>
                <w:rFonts w:ascii="Palatino Linotype" w:hAnsi="Palatino Linotype"/>
                <w:sz w:val="20"/>
              </w:rPr>
              <w:sym w:font="Symbol" w:char="F066"/>
            </w:r>
          </w:p>
        </w:tc>
        <w:tc>
          <w:tcPr>
            <w:tcW w:w="1907" w:type="dxa"/>
          </w:tcPr>
          <w:p w14:paraId="26E8290F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69</w:t>
            </w:r>
          </w:p>
        </w:tc>
      </w:tr>
      <w:tr w:rsidR="006D7B5D" w:rsidRPr="00DF4D82" w14:paraId="4F512C51" w14:textId="77777777" w:rsidTr="008D55E1">
        <w:tc>
          <w:tcPr>
            <w:tcW w:w="4774" w:type="dxa"/>
          </w:tcPr>
          <w:p w14:paraId="34B22742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  <w:r w:rsidRPr="00DF4D82">
              <w:rPr>
                <w:rFonts w:ascii="Palatino Linotype" w:hAnsi="Palatino Linotype"/>
                <w:sz w:val="20"/>
              </w:rPr>
              <w:sym w:font="Symbol" w:char="F079"/>
            </w:r>
          </w:p>
        </w:tc>
        <w:tc>
          <w:tcPr>
            <w:tcW w:w="1907" w:type="dxa"/>
          </w:tcPr>
          <w:p w14:paraId="3198D5DC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69</w:t>
            </w:r>
          </w:p>
        </w:tc>
      </w:tr>
      <w:tr w:rsidR="006D7B5D" w:rsidRPr="00DF4D82" w14:paraId="3181A00C" w14:textId="77777777" w:rsidTr="008D55E1">
        <w:tc>
          <w:tcPr>
            <w:tcW w:w="4774" w:type="dxa"/>
          </w:tcPr>
          <w:p w14:paraId="781DFFA1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  <w:r w:rsidRPr="00DF4D82">
              <w:rPr>
                <w:rFonts w:ascii="Palatino Linotype" w:hAnsi="Palatino Linotype"/>
                <w:sz w:val="20"/>
              </w:rPr>
              <w:sym w:font="Symbol" w:char="F063"/>
            </w:r>
            <w:r w:rsidRPr="00DF4D82">
              <w:rPr>
                <w:rFonts w:ascii="Palatino Linotype" w:hAnsi="Palatino Linotype"/>
                <w:sz w:val="20"/>
                <w:vertAlign w:val="subscript"/>
              </w:rPr>
              <w:t>1</w:t>
            </w:r>
          </w:p>
        </w:tc>
        <w:tc>
          <w:tcPr>
            <w:tcW w:w="1907" w:type="dxa"/>
          </w:tcPr>
          <w:p w14:paraId="31E4CC62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26</w:t>
            </w:r>
          </w:p>
        </w:tc>
      </w:tr>
      <w:tr w:rsidR="006D7B5D" w:rsidRPr="00DF4D82" w14:paraId="51A23035" w14:textId="77777777" w:rsidTr="008D55E1">
        <w:tc>
          <w:tcPr>
            <w:tcW w:w="4774" w:type="dxa"/>
          </w:tcPr>
          <w:p w14:paraId="54E5BB08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</w:p>
        </w:tc>
        <w:tc>
          <w:tcPr>
            <w:tcW w:w="1907" w:type="dxa"/>
          </w:tcPr>
          <w:p w14:paraId="0C451779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</w:p>
        </w:tc>
      </w:tr>
      <w:tr w:rsidR="006D7B5D" w:rsidRPr="00DF4D82" w14:paraId="39C6F529" w14:textId="77777777" w:rsidTr="008D55E1">
        <w:tc>
          <w:tcPr>
            <w:tcW w:w="4774" w:type="dxa"/>
          </w:tcPr>
          <w:p w14:paraId="56204462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  <w:r w:rsidRPr="00DF4D82">
              <w:rPr>
                <w:rFonts w:ascii="Palatino Linotype" w:hAnsi="Palatino Linotype"/>
                <w:b/>
                <w:sz w:val="20"/>
              </w:rPr>
              <w:t xml:space="preserve">Structure </w:t>
            </w:r>
            <w:proofErr w:type="spellStart"/>
            <w:r w:rsidRPr="00DF4D82">
              <w:rPr>
                <w:rFonts w:ascii="Palatino Linotype" w:hAnsi="Palatino Linotype"/>
                <w:b/>
                <w:sz w:val="20"/>
              </w:rPr>
              <w:t>statistics</w:t>
            </w:r>
            <w:proofErr w:type="spellEnd"/>
          </w:p>
        </w:tc>
        <w:tc>
          <w:tcPr>
            <w:tcW w:w="1907" w:type="dxa"/>
          </w:tcPr>
          <w:p w14:paraId="2EEC495B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</w:p>
        </w:tc>
      </w:tr>
      <w:tr w:rsidR="006D7B5D" w:rsidRPr="00DF4D82" w14:paraId="1870B2A0" w14:textId="77777777" w:rsidTr="008D55E1">
        <w:tc>
          <w:tcPr>
            <w:tcW w:w="4774" w:type="dxa"/>
          </w:tcPr>
          <w:p w14:paraId="20B7FC37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  <w:lang w:val="en-US"/>
              </w:rPr>
            </w:pPr>
            <w:r w:rsidRPr="00DF4D82">
              <w:rPr>
                <w:rFonts w:ascii="Palatino Linotype" w:hAnsi="Palatino Linotype"/>
                <w:sz w:val="20"/>
                <w:lang w:val="en-US"/>
              </w:rPr>
              <w:t xml:space="preserve">Violations (mean and </w:t>
            </w:r>
            <w:proofErr w:type="spellStart"/>
            <w:r w:rsidRPr="00DF4D82">
              <w:rPr>
                <w:rFonts w:ascii="Palatino Linotype" w:hAnsi="Palatino Linotype"/>
                <w:sz w:val="20"/>
                <w:lang w:val="en-US"/>
              </w:rPr>
              <w:t>s.d.</w:t>
            </w:r>
            <w:proofErr w:type="spellEnd"/>
            <w:r w:rsidRPr="00DF4D82">
              <w:rPr>
                <w:rFonts w:ascii="Palatino Linotype" w:hAnsi="Palatino Linotype"/>
                <w:sz w:val="20"/>
                <w:lang w:val="en-US"/>
              </w:rPr>
              <w:t>)</w:t>
            </w:r>
          </w:p>
        </w:tc>
        <w:tc>
          <w:tcPr>
            <w:tcW w:w="1907" w:type="dxa"/>
          </w:tcPr>
          <w:p w14:paraId="4D53870C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6D7B5D" w:rsidRPr="00DF4D82" w14:paraId="0A837D74" w14:textId="77777777" w:rsidTr="008D55E1">
        <w:tc>
          <w:tcPr>
            <w:tcW w:w="4774" w:type="dxa"/>
          </w:tcPr>
          <w:p w14:paraId="368160BE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  <w:lang w:val="en-US"/>
              </w:rPr>
              <w:t xml:space="preserve">    </w:t>
            </w:r>
            <w:r w:rsidRPr="00DF4D82">
              <w:rPr>
                <w:rFonts w:ascii="Palatino Linotype" w:hAnsi="Palatino Linotype"/>
                <w:sz w:val="20"/>
              </w:rPr>
              <w:t xml:space="preserve">Max. distance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constraint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violation (Å) </w:t>
            </w:r>
          </w:p>
        </w:tc>
        <w:tc>
          <w:tcPr>
            <w:tcW w:w="1907" w:type="dxa"/>
          </w:tcPr>
          <w:p w14:paraId="1C6930D8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0.13 ± 0.02</w:t>
            </w:r>
          </w:p>
        </w:tc>
      </w:tr>
      <w:tr w:rsidR="006D7B5D" w:rsidRPr="00DF4D82" w14:paraId="74D7093C" w14:textId="77777777" w:rsidTr="008D55E1">
        <w:tc>
          <w:tcPr>
            <w:tcW w:w="4774" w:type="dxa"/>
          </w:tcPr>
          <w:p w14:paraId="71707A58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Max.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dihedral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angle violation (</w:t>
            </w:r>
            <w:proofErr w:type="gramStart"/>
            <w:r w:rsidRPr="00DF4D82">
              <w:rPr>
                <w:rFonts w:ascii="Palatino Linotype" w:hAnsi="Palatino Linotype"/>
                <w:sz w:val="20"/>
              </w:rPr>
              <w:t xml:space="preserve">º)   </w:t>
            </w:r>
            <w:proofErr w:type="gram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07" w:type="dxa"/>
          </w:tcPr>
          <w:p w14:paraId="03126C72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1.17 ± 0.53</w:t>
            </w:r>
          </w:p>
        </w:tc>
      </w:tr>
      <w:tr w:rsidR="006D7B5D" w:rsidRPr="00DF4D82" w14:paraId="14DDF80F" w14:textId="77777777" w:rsidTr="008D55E1">
        <w:tc>
          <w:tcPr>
            <w:tcW w:w="4774" w:type="dxa"/>
          </w:tcPr>
          <w:p w14:paraId="788A2900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DF4D82">
              <w:rPr>
                <w:rFonts w:ascii="Palatino Linotype" w:hAnsi="Palatino Linotype"/>
                <w:sz w:val="20"/>
              </w:rPr>
              <w:t>Deviations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from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idealized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geometry</w:t>
            </w:r>
            <w:proofErr w:type="spellEnd"/>
          </w:p>
        </w:tc>
        <w:tc>
          <w:tcPr>
            <w:tcW w:w="1907" w:type="dxa"/>
          </w:tcPr>
          <w:p w14:paraId="6753CCA0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</w:p>
        </w:tc>
      </w:tr>
      <w:tr w:rsidR="006D7B5D" w:rsidRPr="00DF4D82" w14:paraId="62C2B952" w14:textId="77777777" w:rsidTr="008D55E1">
        <w:tc>
          <w:tcPr>
            <w:tcW w:w="4774" w:type="dxa"/>
          </w:tcPr>
          <w:p w14:paraId="22821A70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Bond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lengths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(</w:t>
            </w:r>
            <w:proofErr w:type="gramStart"/>
            <w:r w:rsidRPr="00DF4D82">
              <w:rPr>
                <w:rFonts w:ascii="Palatino Linotype" w:hAnsi="Palatino Linotype"/>
                <w:sz w:val="20"/>
              </w:rPr>
              <w:t xml:space="preserve">Å)   </w:t>
            </w:r>
            <w:proofErr w:type="gram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907" w:type="dxa"/>
          </w:tcPr>
          <w:p w14:paraId="743CFCFF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0.0090 ± 0.0003</w:t>
            </w:r>
          </w:p>
        </w:tc>
      </w:tr>
      <w:tr w:rsidR="006D7B5D" w:rsidRPr="00DF4D82" w14:paraId="748C380C" w14:textId="77777777" w:rsidTr="008D55E1">
        <w:tc>
          <w:tcPr>
            <w:tcW w:w="4774" w:type="dxa"/>
          </w:tcPr>
          <w:p w14:paraId="634C7433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Bond angles (º)</w:t>
            </w:r>
          </w:p>
        </w:tc>
        <w:tc>
          <w:tcPr>
            <w:tcW w:w="1907" w:type="dxa"/>
          </w:tcPr>
          <w:p w14:paraId="0712BA92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1.0888 ± 0.0469</w:t>
            </w:r>
          </w:p>
        </w:tc>
      </w:tr>
      <w:tr w:rsidR="006D7B5D" w:rsidRPr="00DF4D82" w14:paraId="0D8E6BA1" w14:textId="77777777" w:rsidTr="008D55E1">
        <w:tc>
          <w:tcPr>
            <w:tcW w:w="4774" w:type="dxa"/>
          </w:tcPr>
          <w:p w14:paraId="424F095D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Impropers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(º)</w:t>
            </w:r>
          </w:p>
        </w:tc>
        <w:tc>
          <w:tcPr>
            <w:tcW w:w="1907" w:type="dxa"/>
          </w:tcPr>
          <w:p w14:paraId="6D2708ED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1.2349 ± 0.0650</w:t>
            </w:r>
          </w:p>
        </w:tc>
      </w:tr>
      <w:tr w:rsidR="006D7B5D" w:rsidRPr="00DF4D82" w14:paraId="7CE6830F" w14:textId="77777777" w:rsidTr="008D55E1">
        <w:tc>
          <w:tcPr>
            <w:tcW w:w="4774" w:type="dxa"/>
          </w:tcPr>
          <w:p w14:paraId="2BC3B8F6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</w:p>
        </w:tc>
        <w:tc>
          <w:tcPr>
            <w:tcW w:w="1907" w:type="dxa"/>
          </w:tcPr>
          <w:p w14:paraId="0E9B750F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</w:p>
        </w:tc>
      </w:tr>
      <w:tr w:rsidR="006D7B5D" w:rsidRPr="00DF4D82" w14:paraId="13CCF031" w14:textId="77777777" w:rsidTr="008D55E1">
        <w:tc>
          <w:tcPr>
            <w:tcW w:w="4774" w:type="dxa"/>
          </w:tcPr>
          <w:p w14:paraId="323EC2A6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  <w:r w:rsidRPr="00DF4D82">
              <w:rPr>
                <w:rFonts w:ascii="Palatino Linotype" w:hAnsi="Palatino Linotype"/>
                <w:b/>
                <w:sz w:val="20"/>
              </w:rPr>
              <w:t>Ramachandran plot (%)</w:t>
            </w:r>
          </w:p>
        </w:tc>
        <w:tc>
          <w:tcPr>
            <w:tcW w:w="1907" w:type="dxa"/>
          </w:tcPr>
          <w:p w14:paraId="2CBE18DF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</w:p>
        </w:tc>
      </w:tr>
      <w:tr w:rsidR="006D7B5D" w:rsidRPr="00DF4D82" w14:paraId="51058997" w14:textId="77777777" w:rsidTr="008D55E1">
        <w:tc>
          <w:tcPr>
            <w:tcW w:w="4774" w:type="dxa"/>
          </w:tcPr>
          <w:p w14:paraId="38273EB9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Most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favoured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region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</w:p>
        </w:tc>
        <w:tc>
          <w:tcPr>
            <w:tcW w:w="1907" w:type="dxa"/>
          </w:tcPr>
          <w:p w14:paraId="549E1E84" w14:textId="77777777" w:rsidR="006D7B5D" w:rsidRPr="00DF4D82" w:rsidRDefault="006D7B5D" w:rsidP="008D55E1">
            <w:pPr>
              <w:tabs>
                <w:tab w:val="decimal" w:pos="227"/>
              </w:tabs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95.6</w:t>
            </w:r>
          </w:p>
        </w:tc>
      </w:tr>
      <w:tr w:rsidR="006D7B5D" w:rsidRPr="00DF4D82" w14:paraId="7CD7FF6E" w14:textId="77777777" w:rsidTr="008D55E1">
        <w:tc>
          <w:tcPr>
            <w:tcW w:w="4774" w:type="dxa"/>
          </w:tcPr>
          <w:p w14:paraId="5C7C4550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Additionally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allowed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region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</w:p>
        </w:tc>
        <w:tc>
          <w:tcPr>
            <w:tcW w:w="1907" w:type="dxa"/>
          </w:tcPr>
          <w:p w14:paraId="267BF7A3" w14:textId="77777777" w:rsidR="006D7B5D" w:rsidRPr="00DF4D82" w:rsidRDefault="006D7B5D" w:rsidP="008D55E1">
            <w:pPr>
              <w:tabs>
                <w:tab w:val="decimal" w:pos="227"/>
              </w:tabs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4.4</w:t>
            </w:r>
          </w:p>
        </w:tc>
      </w:tr>
      <w:tr w:rsidR="006D7B5D" w:rsidRPr="00DF4D82" w14:paraId="6E1E1EA5" w14:textId="77777777" w:rsidTr="008D55E1">
        <w:tc>
          <w:tcPr>
            <w:tcW w:w="4774" w:type="dxa"/>
          </w:tcPr>
          <w:p w14:paraId="056F094A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Generously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allowed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region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</w:p>
        </w:tc>
        <w:tc>
          <w:tcPr>
            <w:tcW w:w="1907" w:type="dxa"/>
          </w:tcPr>
          <w:p w14:paraId="0FC405C5" w14:textId="77777777" w:rsidR="006D7B5D" w:rsidRPr="00DF4D82" w:rsidRDefault="006D7B5D" w:rsidP="008D55E1">
            <w:pPr>
              <w:tabs>
                <w:tab w:val="decimal" w:pos="227"/>
              </w:tabs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0.0</w:t>
            </w:r>
          </w:p>
        </w:tc>
      </w:tr>
      <w:tr w:rsidR="006D7B5D" w:rsidRPr="00DF4D82" w14:paraId="4AAA0D72" w14:textId="77777777" w:rsidTr="008D55E1">
        <w:tc>
          <w:tcPr>
            <w:tcW w:w="4774" w:type="dxa"/>
          </w:tcPr>
          <w:p w14:paraId="148A961B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Disallowed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sz w:val="20"/>
              </w:rPr>
              <w:t>region</w:t>
            </w:r>
            <w:proofErr w:type="spellEnd"/>
            <w:r w:rsidRPr="00DF4D82">
              <w:rPr>
                <w:rFonts w:ascii="Palatino Linotype" w:hAnsi="Palatino Linotype"/>
                <w:sz w:val="20"/>
              </w:rPr>
              <w:t xml:space="preserve">    </w:t>
            </w:r>
          </w:p>
        </w:tc>
        <w:tc>
          <w:tcPr>
            <w:tcW w:w="1907" w:type="dxa"/>
          </w:tcPr>
          <w:p w14:paraId="23AD4E85" w14:textId="77777777" w:rsidR="006D7B5D" w:rsidRPr="00DF4D82" w:rsidRDefault="006D7B5D" w:rsidP="008D55E1">
            <w:pPr>
              <w:tabs>
                <w:tab w:val="decimal" w:pos="227"/>
              </w:tabs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0.0</w:t>
            </w:r>
          </w:p>
        </w:tc>
      </w:tr>
      <w:tr w:rsidR="006D7B5D" w:rsidRPr="00DF4D82" w14:paraId="0E8D3551" w14:textId="77777777" w:rsidTr="008D55E1">
        <w:tc>
          <w:tcPr>
            <w:tcW w:w="4774" w:type="dxa"/>
          </w:tcPr>
          <w:p w14:paraId="78D2B30A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</w:p>
        </w:tc>
        <w:tc>
          <w:tcPr>
            <w:tcW w:w="1907" w:type="dxa"/>
          </w:tcPr>
          <w:p w14:paraId="462B84AA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</w:p>
        </w:tc>
      </w:tr>
      <w:tr w:rsidR="006D7B5D" w:rsidRPr="00DF4D82" w14:paraId="093DB81E" w14:textId="77777777" w:rsidTr="008D55E1">
        <w:tc>
          <w:tcPr>
            <w:tcW w:w="4774" w:type="dxa"/>
          </w:tcPr>
          <w:p w14:paraId="5A4329CF" w14:textId="77777777" w:rsidR="006D7B5D" w:rsidRPr="00DF4D82" w:rsidRDefault="006D7B5D" w:rsidP="008D55E1">
            <w:pPr>
              <w:rPr>
                <w:rFonts w:ascii="Palatino Linotype" w:hAnsi="Palatino Linotype"/>
                <w:b/>
                <w:sz w:val="20"/>
              </w:rPr>
            </w:pPr>
            <w:proofErr w:type="spellStart"/>
            <w:r w:rsidRPr="00DF4D82">
              <w:rPr>
                <w:rFonts w:ascii="Palatino Linotype" w:hAnsi="Palatino Linotype"/>
                <w:b/>
                <w:sz w:val="20"/>
              </w:rPr>
              <w:t>Average</w:t>
            </w:r>
            <w:proofErr w:type="spellEnd"/>
            <w:r w:rsidRPr="00DF4D82">
              <w:rPr>
                <w:rFonts w:ascii="Palatino Linotype" w:hAnsi="Palatino Linotype"/>
                <w:b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b/>
                <w:sz w:val="20"/>
              </w:rPr>
              <w:t>pairwise</w:t>
            </w:r>
            <w:proofErr w:type="spellEnd"/>
            <w:r w:rsidRPr="00DF4D82">
              <w:rPr>
                <w:rFonts w:ascii="Palatino Linotype" w:hAnsi="Palatino Linotype"/>
                <w:b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i/>
                <w:sz w:val="20"/>
              </w:rPr>
              <w:t>r.m.s</w:t>
            </w:r>
            <w:proofErr w:type="spellEnd"/>
            <w:r w:rsidRPr="00DF4D82">
              <w:rPr>
                <w:rFonts w:ascii="Palatino Linotype" w:hAnsi="Palatino Linotype"/>
                <w:i/>
                <w:sz w:val="20"/>
              </w:rPr>
              <w:t>.</w:t>
            </w:r>
            <w:r w:rsidRPr="00DF4D82">
              <w:rPr>
                <w:rFonts w:ascii="Palatino Linotype" w:hAnsi="Palatino Linotype"/>
                <w:b/>
                <w:sz w:val="20"/>
              </w:rPr>
              <w:t xml:space="preserve"> </w:t>
            </w:r>
            <w:proofErr w:type="spellStart"/>
            <w:r w:rsidRPr="00DF4D82">
              <w:rPr>
                <w:rFonts w:ascii="Palatino Linotype" w:hAnsi="Palatino Linotype"/>
                <w:b/>
                <w:sz w:val="20"/>
              </w:rPr>
              <w:t>deviation</w:t>
            </w:r>
            <w:proofErr w:type="spellEnd"/>
            <w:r w:rsidRPr="00DF4D82">
              <w:rPr>
                <w:rFonts w:ascii="Palatino Linotype" w:hAnsi="Palatino Linotype"/>
                <w:b/>
                <w:sz w:val="20"/>
              </w:rPr>
              <w:t>** (</w:t>
            </w:r>
            <w:proofErr w:type="gramStart"/>
            <w:r w:rsidRPr="00DF4D82">
              <w:rPr>
                <w:rFonts w:ascii="Palatino Linotype" w:hAnsi="Palatino Linotype"/>
                <w:b/>
                <w:sz w:val="20"/>
              </w:rPr>
              <w:t xml:space="preserve">Å)   </w:t>
            </w:r>
            <w:proofErr w:type="gramEnd"/>
            <w:r w:rsidRPr="00DF4D82">
              <w:rPr>
                <w:rFonts w:ascii="Palatino Linotype" w:hAnsi="Palatino Linotype"/>
                <w:b/>
                <w:sz w:val="20"/>
              </w:rPr>
              <w:t xml:space="preserve"> </w:t>
            </w:r>
          </w:p>
        </w:tc>
        <w:tc>
          <w:tcPr>
            <w:tcW w:w="1907" w:type="dxa"/>
          </w:tcPr>
          <w:p w14:paraId="5DA7CBAE" w14:textId="77777777" w:rsidR="006D7B5D" w:rsidRPr="00DF4D82" w:rsidRDefault="006D7B5D" w:rsidP="008D55E1">
            <w:pPr>
              <w:jc w:val="center"/>
              <w:rPr>
                <w:rFonts w:ascii="Palatino Linotype" w:hAnsi="Palatino Linotype"/>
                <w:b/>
                <w:sz w:val="20"/>
              </w:rPr>
            </w:pPr>
          </w:p>
        </w:tc>
      </w:tr>
      <w:tr w:rsidR="006D7B5D" w:rsidRPr="00DF4D82" w14:paraId="30813080" w14:textId="77777777" w:rsidTr="008D55E1">
        <w:tc>
          <w:tcPr>
            <w:tcW w:w="4774" w:type="dxa"/>
          </w:tcPr>
          <w:p w14:paraId="1FCD0B93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Backbone  </w:t>
            </w:r>
          </w:p>
        </w:tc>
        <w:tc>
          <w:tcPr>
            <w:tcW w:w="1907" w:type="dxa"/>
          </w:tcPr>
          <w:p w14:paraId="1841D47B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0.47 ± 0.09</w:t>
            </w:r>
          </w:p>
        </w:tc>
      </w:tr>
      <w:tr w:rsidR="006D7B5D" w:rsidRPr="00DF4D82" w14:paraId="55713E62" w14:textId="77777777" w:rsidTr="008D55E1">
        <w:tc>
          <w:tcPr>
            <w:tcW w:w="4774" w:type="dxa"/>
          </w:tcPr>
          <w:p w14:paraId="672E72B8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 xml:space="preserve">    Heavy  </w:t>
            </w:r>
          </w:p>
        </w:tc>
        <w:tc>
          <w:tcPr>
            <w:tcW w:w="1907" w:type="dxa"/>
          </w:tcPr>
          <w:p w14:paraId="7BF3DCF9" w14:textId="77777777" w:rsidR="006D7B5D" w:rsidRPr="00DF4D82" w:rsidRDefault="006D7B5D" w:rsidP="008D55E1">
            <w:pPr>
              <w:rPr>
                <w:rFonts w:ascii="Palatino Linotype" w:hAnsi="Palatino Linotype"/>
                <w:sz w:val="20"/>
              </w:rPr>
            </w:pPr>
            <w:r w:rsidRPr="00DF4D82">
              <w:rPr>
                <w:rFonts w:ascii="Palatino Linotype" w:hAnsi="Palatino Linotype"/>
                <w:sz w:val="20"/>
              </w:rPr>
              <w:t>1.14 ± 0.14</w:t>
            </w:r>
          </w:p>
        </w:tc>
      </w:tr>
    </w:tbl>
    <w:p w14:paraId="74730E3D" w14:textId="77777777" w:rsidR="006D7B5D" w:rsidRPr="00DF4D82" w:rsidRDefault="006D7B5D" w:rsidP="006D7B5D">
      <w:pPr>
        <w:rPr>
          <w:rFonts w:ascii="Palatino Linotype" w:hAnsi="Palatino Linotype"/>
          <w:sz w:val="18"/>
          <w:lang w:val="en-US"/>
        </w:rPr>
      </w:pPr>
      <w:r w:rsidRPr="00DF4D82">
        <w:rPr>
          <w:rFonts w:ascii="Palatino Linotype" w:hAnsi="Palatino Linotype"/>
          <w:sz w:val="18"/>
          <w:lang w:val="en-US"/>
        </w:rPr>
        <w:t xml:space="preserve">** “Pairwise </w:t>
      </w:r>
      <w:proofErr w:type="spellStart"/>
      <w:r w:rsidRPr="00DF4D82">
        <w:rPr>
          <w:rFonts w:ascii="Palatino Linotype" w:hAnsi="Palatino Linotype"/>
          <w:sz w:val="18"/>
          <w:lang w:val="en-US"/>
        </w:rPr>
        <w:t>r.m.s.</w:t>
      </w:r>
      <w:proofErr w:type="spellEnd"/>
      <w:r w:rsidRPr="00DF4D82">
        <w:rPr>
          <w:rFonts w:ascii="Palatino Linotype" w:hAnsi="Palatino Linotype"/>
          <w:sz w:val="18"/>
          <w:lang w:val="en-US"/>
        </w:rPr>
        <w:t xml:space="preserve"> deviation calculated among 20 refined structures for residues </w:t>
      </w:r>
      <w:r w:rsidR="00A901B8" w:rsidRPr="00DF4D82">
        <w:rPr>
          <w:rFonts w:ascii="Palatino Linotype" w:hAnsi="Palatino Linotype"/>
          <w:sz w:val="18"/>
          <w:lang w:val="en-US"/>
        </w:rPr>
        <w:t>5</w:t>
      </w:r>
      <w:r w:rsidRPr="00DF4D82">
        <w:rPr>
          <w:rFonts w:ascii="Palatino Linotype" w:hAnsi="Palatino Linotype"/>
          <w:sz w:val="18"/>
          <w:lang w:val="en-US"/>
        </w:rPr>
        <w:t>-</w:t>
      </w:r>
      <w:r w:rsidR="00A901B8" w:rsidRPr="00DF4D82">
        <w:rPr>
          <w:rFonts w:ascii="Palatino Linotype" w:hAnsi="Palatino Linotype"/>
          <w:sz w:val="18"/>
          <w:lang w:val="en-US"/>
        </w:rPr>
        <w:t>76</w:t>
      </w:r>
      <w:r w:rsidRPr="00DF4D82">
        <w:rPr>
          <w:rFonts w:ascii="Palatino Linotype" w:hAnsi="Palatino Linotype"/>
          <w:sz w:val="18"/>
          <w:lang w:val="en-US"/>
        </w:rPr>
        <w:t>.”</w:t>
      </w:r>
    </w:p>
    <w:p w14:paraId="7CF635CA" w14:textId="77777777" w:rsidR="006D7B5D" w:rsidRPr="00DF4D82" w:rsidRDefault="006D7B5D" w:rsidP="006D7B5D">
      <w:pPr>
        <w:rPr>
          <w:rFonts w:ascii="Palatino Linotype" w:hAnsi="Palatino Linotype"/>
          <w:sz w:val="20"/>
          <w:lang w:val="en-US"/>
        </w:rPr>
      </w:pPr>
    </w:p>
    <w:p w14:paraId="0C7A7B80" w14:textId="77777777" w:rsidR="006D7B5D" w:rsidRPr="00DF4D82" w:rsidRDefault="006D7B5D" w:rsidP="006D7B5D">
      <w:pPr>
        <w:jc w:val="both"/>
        <w:rPr>
          <w:rFonts w:ascii="Palatino Linotype" w:hAnsi="Palatino Linotype" w:cs="Helvetica"/>
          <w:color w:val="000000"/>
          <w:lang w:val="en-US"/>
        </w:rPr>
      </w:pPr>
    </w:p>
    <w:p w14:paraId="51E08D61" w14:textId="77777777" w:rsidR="0097465D" w:rsidRPr="00DF4D82" w:rsidRDefault="0097465D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14:paraId="2E9C9EB4" w14:textId="77777777" w:rsidR="00415FD3" w:rsidRPr="00DF4D82" w:rsidRDefault="00415FD3" w:rsidP="00415FD3">
      <w:pPr>
        <w:pStyle w:val="MDPI22heading2"/>
        <w:ind w:left="-567" w:right="-573"/>
        <w:rPr>
          <w:i w:val="0"/>
          <w:color w:val="FF0000"/>
          <w:sz w:val="18"/>
          <w:szCs w:val="18"/>
        </w:rPr>
      </w:pPr>
    </w:p>
    <w:p w14:paraId="49811869" w14:textId="77777777" w:rsidR="00415FD3" w:rsidRPr="00DF4D82" w:rsidRDefault="00415FD3" w:rsidP="00415FD3">
      <w:pPr>
        <w:pStyle w:val="MDPI22heading2"/>
        <w:ind w:left="-567" w:right="-573"/>
        <w:rPr>
          <w:i w:val="0"/>
          <w:color w:val="FF0000"/>
          <w:sz w:val="18"/>
          <w:szCs w:val="18"/>
        </w:rPr>
      </w:pPr>
    </w:p>
    <w:sectPr w:rsidR="00415FD3" w:rsidRPr="00DF4D82" w:rsidSect="00591A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5D"/>
    <w:rsid w:val="000048B2"/>
    <w:rsid w:val="00043900"/>
    <w:rsid w:val="0010799B"/>
    <w:rsid w:val="00121D2B"/>
    <w:rsid w:val="001752C0"/>
    <w:rsid w:val="00201E57"/>
    <w:rsid w:val="002435BF"/>
    <w:rsid w:val="002B04F1"/>
    <w:rsid w:val="002E6F0B"/>
    <w:rsid w:val="003E1D9F"/>
    <w:rsid w:val="00410BB7"/>
    <w:rsid w:val="00415FD3"/>
    <w:rsid w:val="004D07A9"/>
    <w:rsid w:val="004F5A55"/>
    <w:rsid w:val="004F5E21"/>
    <w:rsid w:val="0053639A"/>
    <w:rsid w:val="005678CA"/>
    <w:rsid w:val="00573749"/>
    <w:rsid w:val="00591ADA"/>
    <w:rsid w:val="005A08BD"/>
    <w:rsid w:val="005B5D42"/>
    <w:rsid w:val="0068111A"/>
    <w:rsid w:val="006B3B18"/>
    <w:rsid w:val="006D7B5D"/>
    <w:rsid w:val="00753AC6"/>
    <w:rsid w:val="007B182E"/>
    <w:rsid w:val="0083126F"/>
    <w:rsid w:val="008428DD"/>
    <w:rsid w:val="00877E60"/>
    <w:rsid w:val="0093409A"/>
    <w:rsid w:val="0097465D"/>
    <w:rsid w:val="00A901B8"/>
    <w:rsid w:val="00B03A52"/>
    <w:rsid w:val="00C30928"/>
    <w:rsid w:val="00CD5283"/>
    <w:rsid w:val="00CD5B64"/>
    <w:rsid w:val="00D21874"/>
    <w:rsid w:val="00DF4D82"/>
    <w:rsid w:val="00E6604B"/>
    <w:rsid w:val="00E7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6DF17"/>
  <w15:chartTrackingRefBased/>
  <w15:docId w15:val="{7C6E85B0-87A6-3C4F-B04F-9E964112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2heading2">
    <w:name w:val="MDPI_2.2_heading2"/>
    <w:qFormat/>
    <w:rsid w:val="0097465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813</Characters>
  <Application>Microsoft Office Word</Application>
  <DocSecurity>0</DocSecurity>
  <Lines>78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MDPI-112</cp:lastModifiedBy>
  <cp:revision>5</cp:revision>
  <dcterms:created xsi:type="dcterms:W3CDTF">2021-02-10T18:09:00Z</dcterms:created>
  <dcterms:modified xsi:type="dcterms:W3CDTF">2021-03-29T14:35:00Z</dcterms:modified>
</cp:coreProperties>
</file>