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8CA" w:rsidRDefault="005678CA" w:rsidP="0097465D">
      <w:pPr>
        <w:pStyle w:val="MDPI22heading2"/>
        <w:spacing w:before="0"/>
        <w:ind w:left="-567" w:right="-573"/>
        <w:rPr>
          <w:b/>
          <w:i w:val="0"/>
          <w:szCs w:val="20"/>
        </w:rPr>
      </w:pPr>
    </w:p>
    <w:p w:rsidR="0097465D" w:rsidRPr="005678CA" w:rsidRDefault="005678CA" w:rsidP="0097465D">
      <w:pPr>
        <w:pStyle w:val="MDPI22heading2"/>
        <w:spacing w:before="0"/>
        <w:ind w:left="-567" w:right="-573"/>
        <w:rPr>
          <w:b/>
          <w:i w:val="0"/>
          <w:szCs w:val="20"/>
        </w:rPr>
      </w:pPr>
      <w:r w:rsidRPr="005678CA">
        <w:rPr>
          <w:b/>
          <w:i w:val="0"/>
          <w:szCs w:val="20"/>
        </w:rPr>
        <w:t>Supplementary Material, Figure S</w:t>
      </w:r>
      <w:r w:rsidR="00CD5283">
        <w:rPr>
          <w:b/>
          <w:i w:val="0"/>
          <w:szCs w:val="20"/>
        </w:rPr>
        <w:t>2</w:t>
      </w:r>
    </w:p>
    <w:p w:rsidR="00C30928" w:rsidRDefault="00C30928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</w:p>
    <w:p w:rsidR="005678CA" w:rsidRDefault="005678CA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</w:p>
    <w:p w:rsidR="0097465D" w:rsidRDefault="00CD5283" w:rsidP="0097465D">
      <w:pPr>
        <w:pStyle w:val="MDPI22heading2"/>
        <w:spacing w:before="0"/>
        <w:ind w:left="-567" w:right="-573"/>
        <w:rPr>
          <w:b/>
          <w:i w:val="0"/>
          <w:sz w:val="18"/>
          <w:szCs w:val="18"/>
        </w:rPr>
      </w:pPr>
      <w:r>
        <w:rPr>
          <w:b/>
          <w:i w:val="0"/>
          <w:snapToGrid/>
          <w:sz w:val="18"/>
          <w:szCs w:val="18"/>
        </w:rPr>
        <w:drawing>
          <wp:inline distT="0" distB="0" distL="0" distR="0">
            <wp:extent cx="5756910" cy="3983355"/>
            <wp:effectExtent l="0" t="0" r="0" b="444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iapositive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98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65D" w:rsidRPr="00C30928" w:rsidRDefault="0097465D" w:rsidP="0097465D">
      <w:pPr>
        <w:pStyle w:val="MDPI22heading2"/>
        <w:spacing w:before="0"/>
        <w:ind w:left="-567" w:right="-573"/>
        <w:rPr>
          <w:b/>
          <w:i w:val="0"/>
          <w:szCs w:val="20"/>
        </w:rPr>
      </w:pPr>
    </w:p>
    <w:p w:rsidR="00C30928" w:rsidRDefault="0097465D" w:rsidP="00C30928">
      <w:pPr>
        <w:pStyle w:val="MDPI22heading2"/>
        <w:spacing w:before="0"/>
        <w:ind w:left="-567" w:right="-573"/>
        <w:rPr>
          <w:i w:val="0"/>
          <w:szCs w:val="20"/>
        </w:rPr>
      </w:pPr>
      <w:r w:rsidRPr="0097465D">
        <w:rPr>
          <w:b/>
          <w:i w:val="0"/>
          <w:szCs w:val="20"/>
        </w:rPr>
        <w:t xml:space="preserve">Figure </w:t>
      </w:r>
      <w:r>
        <w:rPr>
          <w:b/>
          <w:i w:val="0"/>
          <w:szCs w:val="20"/>
        </w:rPr>
        <w:t>S</w:t>
      </w:r>
      <w:r w:rsidR="0053639A">
        <w:rPr>
          <w:b/>
          <w:i w:val="0"/>
          <w:szCs w:val="20"/>
        </w:rPr>
        <w:t>2</w:t>
      </w:r>
      <w:r w:rsidRPr="0097465D">
        <w:rPr>
          <w:b/>
          <w:i w:val="0"/>
          <w:szCs w:val="20"/>
        </w:rPr>
        <w:t xml:space="preserve">. </w:t>
      </w:r>
      <w:r w:rsidR="0053639A" w:rsidRPr="0053639A">
        <w:rPr>
          <w:i w:val="0"/>
          <w:szCs w:val="20"/>
        </w:rPr>
        <w:t>Phase modulated</w:t>
      </w:r>
      <w:r w:rsidR="0053639A">
        <w:rPr>
          <w:b/>
          <w:i w:val="0"/>
          <w:szCs w:val="20"/>
        </w:rPr>
        <w:t xml:space="preserve"> </w:t>
      </w:r>
      <w:r w:rsidR="00CD5283">
        <w:rPr>
          <w:i w:val="0"/>
          <w:szCs w:val="20"/>
        </w:rPr>
        <w:t>CLEANEX</w:t>
      </w:r>
      <w:r w:rsidR="001C321B">
        <w:rPr>
          <w:i w:val="0"/>
          <w:szCs w:val="20"/>
        </w:rPr>
        <w:t>-PM</w:t>
      </w:r>
      <w:r w:rsidR="00CD5283">
        <w:rPr>
          <w:i w:val="0"/>
          <w:szCs w:val="20"/>
        </w:rPr>
        <w:t xml:space="preserve"> experiment</w:t>
      </w:r>
      <w:r w:rsidR="0053639A">
        <w:rPr>
          <w:i w:val="0"/>
          <w:szCs w:val="20"/>
        </w:rPr>
        <w:t xml:space="preserve"> </w:t>
      </w:r>
      <w:r w:rsidR="0053639A" w:rsidRPr="00415FD3">
        <w:rPr>
          <w:i w:val="0"/>
          <w:color w:val="auto"/>
          <w:szCs w:val="20"/>
        </w:rPr>
        <w:t>[</w:t>
      </w:r>
      <w:r w:rsidR="00415FD3" w:rsidRPr="00415FD3">
        <w:rPr>
          <w:i w:val="0"/>
          <w:color w:val="auto"/>
          <w:szCs w:val="20"/>
        </w:rPr>
        <w:t>H</w:t>
      </w:r>
      <w:bookmarkStart w:id="0" w:name="_GoBack"/>
      <w:bookmarkEnd w:id="0"/>
      <w:r w:rsidR="00415FD3" w:rsidRPr="00415FD3">
        <w:rPr>
          <w:i w:val="0"/>
          <w:color w:val="auto"/>
          <w:szCs w:val="20"/>
        </w:rPr>
        <w:t>wang et al., 1997, 1998</w:t>
      </w:r>
      <w:r w:rsidR="0053639A" w:rsidRPr="00415FD3">
        <w:rPr>
          <w:i w:val="0"/>
          <w:color w:val="auto"/>
          <w:szCs w:val="20"/>
        </w:rPr>
        <w:t>]</w:t>
      </w:r>
      <w:r w:rsidR="00CD5283" w:rsidRPr="0053639A">
        <w:rPr>
          <w:i w:val="0"/>
          <w:color w:val="FF0000"/>
          <w:szCs w:val="20"/>
        </w:rPr>
        <w:t xml:space="preserve"> </w:t>
      </w:r>
      <w:r w:rsidR="00CD5283">
        <w:rPr>
          <w:i w:val="0"/>
          <w:szCs w:val="20"/>
        </w:rPr>
        <w:t xml:space="preserve">recorded on </w:t>
      </w:r>
      <w:r w:rsidR="00CD5283" w:rsidRPr="0053639A">
        <w:rPr>
          <w:i w:val="0"/>
          <w:szCs w:val="20"/>
          <w:vertAlign w:val="superscript"/>
        </w:rPr>
        <w:t>15</w:t>
      </w:r>
      <w:r w:rsidR="00CD5283">
        <w:rPr>
          <w:i w:val="0"/>
          <w:szCs w:val="20"/>
        </w:rPr>
        <w:t>N-labeled GIPC1-GH2</w:t>
      </w:r>
      <w:r>
        <w:rPr>
          <w:i w:val="0"/>
          <w:szCs w:val="20"/>
        </w:rPr>
        <w:t xml:space="preserve">. </w:t>
      </w:r>
      <w:r w:rsidR="00C30928">
        <w:rPr>
          <w:i w:val="0"/>
          <w:szCs w:val="20"/>
        </w:rPr>
        <w:t>(</w:t>
      </w:r>
      <w:r w:rsidR="00CD5B64">
        <w:rPr>
          <w:i w:val="0"/>
          <w:szCs w:val="20"/>
        </w:rPr>
        <w:t>Left</w:t>
      </w:r>
      <w:r w:rsidR="00C30928">
        <w:rPr>
          <w:i w:val="0"/>
          <w:szCs w:val="20"/>
        </w:rPr>
        <w:t xml:space="preserve">) </w:t>
      </w:r>
      <w:r w:rsidR="00CD5B64">
        <w:rPr>
          <w:i w:val="0"/>
          <w:szCs w:val="20"/>
        </w:rPr>
        <w:t xml:space="preserve">Superimposition of a clean chemical exchange experiment (CLEANEX) recorded with 100 ms mixing time (red) and a reference HSQC spectra (black). </w:t>
      </w:r>
      <w:r w:rsidR="0053639A">
        <w:rPr>
          <w:i w:val="0"/>
          <w:szCs w:val="20"/>
        </w:rPr>
        <w:t>E</w:t>
      </w:r>
      <w:r w:rsidR="00CD5B64">
        <w:rPr>
          <w:i w:val="0"/>
          <w:szCs w:val="20"/>
        </w:rPr>
        <w:t xml:space="preserve">xperiments were recorded with the same experimental conditions as in Figure 1. (Right) The residues exhibiting amide cross-peaks in the CLEANEX experiments were coloured in pink on the </w:t>
      </w:r>
      <w:r w:rsidR="0053639A">
        <w:rPr>
          <w:i w:val="0"/>
          <w:szCs w:val="20"/>
        </w:rPr>
        <w:t xml:space="preserve">cartoon representation of the </w:t>
      </w:r>
      <w:r w:rsidR="00CD5B64">
        <w:rPr>
          <w:i w:val="0"/>
          <w:szCs w:val="20"/>
        </w:rPr>
        <w:t xml:space="preserve">3D solution structure of GIPC1-GH2 (two views rotated by 180°C). The corresponding amide protons are supposed to be solvent exposed and not involved in intra-molecular H-bonds. </w:t>
      </w:r>
      <w:r w:rsidR="00415FD3">
        <w:rPr>
          <w:i w:val="0"/>
          <w:szCs w:val="20"/>
        </w:rPr>
        <w:t xml:space="preserve">For CYANA modeling of the 3D structure, </w:t>
      </w:r>
      <w:r w:rsidR="00CD5B64">
        <w:rPr>
          <w:i w:val="0"/>
          <w:szCs w:val="20"/>
        </w:rPr>
        <w:t xml:space="preserve">H-bonds restraints where </w:t>
      </w:r>
      <w:r w:rsidR="00415FD3">
        <w:rPr>
          <w:i w:val="0"/>
          <w:szCs w:val="20"/>
        </w:rPr>
        <w:t>introduced</w:t>
      </w:r>
      <w:r w:rsidR="00CD5B64">
        <w:rPr>
          <w:i w:val="0"/>
          <w:szCs w:val="20"/>
        </w:rPr>
        <w:t xml:space="preserve"> between amide donnors and carbonyle acceptors</w:t>
      </w:r>
      <w:r w:rsidR="0053639A">
        <w:rPr>
          <w:i w:val="0"/>
          <w:szCs w:val="20"/>
        </w:rPr>
        <w:t xml:space="preserve"> when the corresponding amide HSQC cross-peaks did not </w:t>
      </w:r>
      <w:r w:rsidR="00415FD3">
        <w:rPr>
          <w:i w:val="0"/>
          <w:szCs w:val="20"/>
        </w:rPr>
        <w:t>overlap with</w:t>
      </w:r>
      <w:r w:rsidR="0053639A">
        <w:rPr>
          <w:i w:val="0"/>
          <w:szCs w:val="20"/>
        </w:rPr>
        <w:t xml:space="preserve"> amide CLEANEX cross-peak, and when the corresponding residue was involved in a regular helical structure, as deduced from TALOS analysis.</w:t>
      </w:r>
    </w:p>
    <w:p w:rsidR="00753AC6" w:rsidRDefault="00753AC6" w:rsidP="00C30928">
      <w:pPr>
        <w:pStyle w:val="MDPI22heading2"/>
        <w:spacing w:before="0"/>
        <w:ind w:left="-567" w:right="-573"/>
        <w:rPr>
          <w:szCs w:val="20"/>
        </w:rPr>
      </w:pPr>
    </w:p>
    <w:p w:rsidR="00753AC6" w:rsidRPr="00753AC6" w:rsidRDefault="00753AC6" w:rsidP="00C30928">
      <w:pPr>
        <w:pStyle w:val="MDPI22heading2"/>
        <w:spacing w:before="0"/>
        <w:ind w:left="-567" w:right="-573"/>
        <w:rPr>
          <w:i w:val="0"/>
          <w:szCs w:val="20"/>
        </w:rPr>
      </w:pPr>
    </w:p>
    <w:p w:rsidR="00415FD3" w:rsidRPr="00415FD3" w:rsidRDefault="00415FD3" w:rsidP="00415FD3">
      <w:pPr>
        <w:pStyle w:val="MDPI22heading2"/>
        <w:ind w:left="-567" w:right="-573"/>
        <w:rPr>
          <w:i w:val="0"/>
          <w:color w:val="auto"/>
          <w:sz w:val="18"/>
          <w:szCs w:val="18"/>
        </w:rPr>
      </w:pPr>
      <w:r w:rsidRPr="00415FD3">
        <w:rPr>
          <w:i w:val="0"/>
          <w:color w:val="auto"/>
          <w:sz w:val="18"/>
          <w:szCs w:val="18"/>
        </w:rPr>
        <w:t>Hwang, T. L., S. Mori, ., P. C. M. van Zijl. 1997. Application of phase-modulated CLEAN chemical EXchange spectroscopy</w:t>
      </w:r>
    </w:p>
    <w:p w:rsidR="00753AC6" w:rsidRPr="00415FD3" w:rsidRDefault="00415FD3" w:rsidP="00415FD3">
      <w:pPr>
        <w:pStyle w:val="MDPI22heading2"/>
        <w:ind w:left="-567" w:right="-573"/>
        <w:rPr>
          <w:i w:val="0"/>
          <w:color w:val="auto"/>
          <w:sz w:val="18"/>
          <w:szCs w:val="18"/>
        </w:rPr>
      </w:pPr>
      <w:r w:rsidRPr="00415FD3">
        <w:rPr>
          <w:i w:val="0"/>
          <w:color w:val="auto"/>
          <w:sz w:val="18"/>
          <w:szCs w:val="18"/>
        </w:rPr>
        <w:t>(CLEANEX-PM) to detect water-protein proton exchange and intermolecular NOEs. J. Am. Chem. Soc. 119:6203–6204.</w:t>
      </w:r>
    </w:p>
    <w:p w:rsidR="00415FD3" w:rsidRPr="00415FD3" w:rsidRDefault="00415FD3" w:rsidP="00415FD3">
      <w:pPr>
        <w:pStyle w:val="MDPI22heading2"/>
        <w:ind w:left="-567" w:right="-573"/>
        <w:rPr>
          <w:i w:val="0"/>
          <w:color w:val="auto"/>
          <w:sz w:val="18"/>
          <w:szCs w:val="18"/>
        </w:rPr>
      </w:pPr>
    </w:p>
    <w:p w:rsidR="00415FD3" w:rsidRDefault="00415FD3" w:rsidP="00415FD3">
      <w:pPr>
        <w:pStyle w:val="MDPI22heading2"/>
        <w:ind w:left="-567" w:right="-573"/>
        <w:rPr>
          <w:i w:val="0"/>
          <w:color w:val="FF0000"/>
          <w:sz w:val="18"/>
          <w:szCs w:val="18"/>
        </w:rPr>
      </w:pPr>
      <w:r w:rsidRPr="00415FD3">
        <w:rPr>
          <w:i w:val="0"/>
          <w:color w:val="auto"/>
          <w:sz w:val="18"/>
          <w:szCs w:val="18"/>
        </w:rPr>
        <w:t>Hwang, T. L., P. C. van Zijl, and S. Mori. 1998. Accurate quantitation of water-amide proton exchange rates using the phase-modulated CLEAN chemical EXchange (CLEANEX-PM) approach with a Fast-HSQC (FHSQC) detection scheme. J. Biomol. NMR. 11:221–226</w:t>
      </w:r>
      <w:r w:rsidRPr="00415FD3">
        <w:rPr>
          <w:i w:val="0"/>
          <w:color w:val="FF0000"/>
          <w:sz w:val="18"/>
          <w:szCs w:val="18"/>
        </w:rPr>
        <w:t>.</w:t>
      </w:r>
    </w:p>
    <w:p w:rsidR="00415FD3" w:rsidRDefault="00415FD3" w:rsidP="00415FD3">
      <w:pPr>
        <w:pStyle w:val="MDPI22heading2"/>
        <w:ind w:left="-567" w:right="-573"/>
        <w:rPr>
          <w:i w:val="0"/>
          <w:color w:val="FF0000"/>
          <w:sz w:val="18"/>
          <w:szCs w:val="18"/>
        </w:rPr>
      </w:pPr>
    </w:p>
    <w:p w:rsidR="00415FD3" w:rsidRPr="00415FD3" w:rsidRDefault="00415FD3" w:rsidP="00415FD3">
      <w:pPr>
        <w:pStyle w:val="MDPI22heading2"/>
        <w:ind w:left="-567" w:right="-573"/>
        <w:rPr>
          <w:i w:val="0"/>
          <w:color w:val="FF0000"/>
          <w:sz w:val="18"/>
          <w:szCs w:val="18"/>
        </w:rPr>
      </w:pPr>
    </w:p>
    <w:sectPr w:rsidR="00415FD3" w:rsidRPr="00415FD3" w:rsidSect="00591A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65D"/>
    <w:rsid w:val="000048B2"/>
    <w:rsid w:val="00043900"/>
    <w:rsid w:val="0010799B"/>
    <w:rsid w:val="00121D2B"/>
    <w:rsid w:val="001752C0"/>
    <w:rsid w:val="001C321B"/>
    <w:rsid w:val="00201E57"/>
    <w:rsid w:val="002435BF"/>
    <w:rsid w:val="002B04F1"/>
    <w:rsid w:val="002E6F0B"/>
    <w:rsid w:val="003E1D9F"/>
    <w:rsid w:val="00410BB7"/>
    <w:rsid w:val="00415FD3"/>
    <w:rsid w:val="004D07A9"/>
    <w:rsid w:val="004F5A55"/>
    <w:rsid w:val="004F5E21"/>
    <w:rsid w:val="0053639A"/>
    <w:rsid w:val="005678CA"/>
    <w:rsid w:val="00573749"/>
    <w:rsid w:val="00591ADA"/>
    <w:rsid w:val="005A08BD"/>
    <w:rsid w:val="005B5D42"/>
    <w:rsid w:val="0068111A"/>
    <w:rsid w:val="006B3B18"/>
    <w:rsid w:val="00753AC6"/>
    <w:rsid w:val="007B182E"/>
    <w:rsid w:val="0083126F"/>
    <w:rsid w:val="008428DD"/>
    <w:rsid w:val="00877E60"/>
    <w:rsid w:val="0093409A"/>
    <w:rsid w:val="0097465D"/>
    <w:rsid w:val="00B03A52"/>
    <w:rsid w:val="00C30928"/>
    <w:rsid w:val="00CD5283"/>
    <w:rsid w:val="00CD5B64"/>
    <w:rsid w:val="00D21874"/>
    <w:rsid w:val="00E6604B"/>
    <w:rsid w:val="00E7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E6E1A1"/>
  <w15:chartTrackingRefBased/>
  <w15:docId w15:val="{7C6E85B0-87A6-3C4F-B04F-9E964112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DPI22heading2">
    <w:name w:val="MDPI_2.2_heading2"/>
    <w:qFormat/>
    <w:rsid w:val="0097465D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2021-02-10T18:05:00Z</dcterms:created>
  <dcterms:modified xsi:type="dcterms:W3CDTF">2021-02-22T16:31:00Z</dcterms:modified>
</cp:coreProperties>
</file>