
<file path=[Content_Types].xml><?xml version="1.0" encoding="utf-8"?>
<Types xmlns="http://schemas.openxmlformats.org/package/2006/content-types">
  <Default Extension="emf" ContentType="image/x-emf"/>
  <Default Extension="png" ContentType="image/png"/>
  <Default Extension="pptx" ContentType="application/vnd.openxmlformats-officedocument.presentationml.presentation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2F8D5" w14:textId="77777777" w:rsidR="00DB069C" w:rsidRPr="00F646DF" w:rsidRDefault="00DB069C" w:rsidP="00DB069C">
      <w:pPr>
        <w:pStyle w:val="MDPI11articletype"/>
        <w:rPr>
          <w:color w:val="auto"/>
        </w:rPr>
      </w:pPr>
      <w:r w:rsidRPr="00F646DF">
        <w:rPr>
          <w:color w:val="auto"/>
        </w:rPr>
        <w:t>Supplementary Material</w:t>
      </w:r>
    </w:p>
    <w:p w14:paraId="2EFCFC3D" w14:textId="77777777" w:rsidR="008A7EC6" w:rsidRPr="008A7EC6" w:rsidRDefault="008A7EC6" w:rsidP="008A7EC6">
      <w:pPr>
        <w:adjustRightInd w:val="0"/>
        <w:snapToGrid w:val="0"/>
        <w:spacing w:after="240" w:line="240" w:lineRule="atLeast"/>
        <w:jc w:val="left"/>
        <w:rPr>
          <w:rFonts w:eastAsia="Times New Roman"/>
          <w:b/>
          <w:noProof w:val="0"/>
          <w:snapToGrid w:val="0"/>
          <w:color w:val="auto"/>
          <w:kern w:val="2"/>
          <w:sz w:val="36"/>
          <w:lang w:eastAsia="de-DE" w:bidi="en-US"/>
        </w:rPr>
      </w:pPr>
      <w:r w:rsidRPr="008A7EC6">
        <w:rPr>
          <w:rFonts w:eastAsia="Times New Roman"/>
          <w:b/>
          <w:noProof w:val="0"/>
          <w:snapToGrid w:val="0"/>
          <w:color w:val="auto"/>
          <w:kern w:val="2"/>
          <w:sz w:val="36"/>
          <w:lang w:eastAsia="de-DE" w:bidi="en-US"/>
        </w:rPr>
        <w:t xml:space="preserve">Effect of Flavonoids on MCP-1 Expression in Human Coronary Artery Endothelial Cells and Impact on MCP-1-Dependent </w:t>
      </w:r>
      <w:r w:rsidRPr="008A7EC6">
        <w:rPr>
          <w:rFonts w:eastAsia="Times New Roman"/>
          <w:b/>
          <w:noProof w:val="0"/>
          <w:snapToGrid w:val="0"/>
          <w:color w:val="auto"/>
          <w:kern w:val="2"/>
          <w:sz w:val="36"/>
          <w:lang w:eastAsia="de-DE" w:bidi="en-US"/>
        </w:rPr>
        <w:br/>
        <w:t>Migration of Human Monocytes</w:t>
      </w:r>
    </w:p>
    <w:p w14:paraId="3A658967" w14:textId="77777777" w:rsidR="008A7EC6" w:rsidRPr="008A7EC6" w:rsidRDefault="008A7EC6" w:rsidP="008A7EC6">
      <w:pPr>
        <w:adjustRightInd w:val="0"/>
        <w:snapToGrid w:val="0"/>
        <w:spacing w:after="360"/>
        <w:jc w:val="left"/>
        <w:rPr>
          <w:rFonts w:eastAsia="Times New Roman"/>
          <w:b/>
          <w:noProof w:val="0"/>
          <w:kern w:val="2"/>
          <w:szCs w:val="22"/>
          <w:lang w:val="de-DE" w:eastAsia="de-DE" w:bidi="en-US"/>
        </w:rPr>
      </w:pPr>
      <w:r w:rsidRPr="008A7EC6">
        <w:rPr>
          <w:rFonts w:eastAsia="Times New Roman"/>
          <w:b/>
          <w:noProof w:val="0"/>
          <w:kern w:val="2"/>
          <w:szCs w:val="22"/>
          <w:lang w:val="de-DE" w:eastAsia="de-DE" w:bidi="en-US"/>
        </w:rPr>
        <w:t xml:space="preserve">Lea Brüser </w:t>
      </w:r>
      <w:r w:rsidRPr="008A7EC6">
        <w:rPr>
          <w:rFonts w:eastAsia="Times New Roman"/>
          <w:b/>
          <w:noProof w:val="0"/>
          <w:kern w:val="2"/>
          <w:szCs w:val="22"/>
          <w:vertAlign w:val="superscript"/>
          <w:lang w:val="de-DE" w:eastAsia="de-DE" w:bidi="en-US"/>
        </w:rPr>
        <w:t>†</w:t>
      </w:r>
      <w:r w:rsidRPr="008A7EC6">
        <w:rPr>
          <w:rFonts w:eastAsia="Times New Roman"/>
          <w:b/>
          <w:noProof w:val="0"/>
          <w:kern w:val="2"/>
          <w:szCs w:val="22"/>
          <w:lang w:val="de-DE" w:eastAsia="de-DE" w:bidi="en-US"/>
        </w:rPr>
        <w:t xml:space="preserve">, Elisa Teichmann </w:t>
      </w:r>
      <w:r w:rsidRPr="008A7EC6">
        <w:rPr>
          <w:rFonts w:eastAsia="Times New Roman"/>
          <w:b/>
          <w:noProof w:val="0"/>
          <w:kern w:val="2"/>
          <w:szCs w:val="22"/>
          <w:vertAlign w:val="superscript"/>
          <w:lang w:val="de-DE" w:eastAsia="de-DE" w:bidi="en-US"/>
        </w:rPr>
        <w:t>†</w:t>
      </w:r>
      <w:r w:rsidRPr="008A7EC6">
        <w:rPr>
          <w:rFonts w:eastAsia="Times New Roman"/>
          <w:b/>
          <w:noProof w:val="0"/>
          <w:kern w:val="2"/>
          <w:szCs w:val="22"/>
          <w:lang w:val="de-DE" w:eastAsia="de-DE" w:bidi="en-US"/>
        </w:rPr>
        <w:t xml:space="preserve"> and Burkhard Hinz *</w:t>
      </w:r>
    </w:p>
    <w:p w14:paraId="6454F4B4" w14:textId="77777777" w:rsidR="008A7EC6" w:rsidRPr="008A7EC6" w:rsidRDefault="008A7EC6" w:rsidP="008A7EC6">
      <w:pPr>
        <w:adjustRightInd w:val="0"/>
        <w:snapToGrid w:val="0"/>
        <w:spacing w:line="200" w:lineRule="atLeast"/>
        <w:ind w:left="2608"/>
        <w:jc w:val="left"/>
        <w:rPr>
          <w:rFonts w:eastAsia="Times New Roman"/>
          <w:noProof w:val="0"/>
          <w:kern w:val="2"/>
          <w:sz w:val="16"/>
          <w:szCs w:val="18"/>
          <w:lang w:eastAsia="de-DE" w:bidi="en-US"/>
        </w:rPr>
      </w:pPr>
      <w:r w:rsidRPr="008A7EC6">
        <w:rPr>
          <w:rFonts w:eastAsia="Times New Roman"/>
          <w:noProof w:val="0"/>
          <w:kern w:val="2"/>
          <w:sz w:val="16"/>
          <w:szCs w:val="18"/>
          <w:lang w:eastAsia="de-DE" w:bidi="en-US"/>
        </w:rPr>
        <w:t>Institute of Pharmacology and Toxicology</w:t>
      </w:r>
      <w:r w:rsidRPr="008A7EC6">
        <w:rPr>
          <w:rFonts w:eastAsia="Times New Roman"/>
          <w:noProof w:val="0"/>
          <w:kern w:val="2"/>
          <w:sz w:val="16"/>
          <w:szCs w:val="18"/>
          <w:u w:color="0D0D0D" w:themeColor="text1" w:themeTint="F2"/>
          <w:lang w:eastAsia="de-DE" w:bidi="en-US"/>
        </w:rPr>
        <w:t>,</w:t>
      </w:r>
      <w:r w:rsidRPr="008A7EC6">
        <w:rPr>
          <w:rFonts w:eastAsia="Times New Roman"/>
          <w:noProof w:val="0"/>
          <w:kern w:val="2"/>
          <w:sz w:val="16"/>
          <w:szCs w:val="18"/>
          <w:lang w:eastAsia="de-DE" w:bidi="en-US"/>
        </w:rPr>
        <w:t xml:space="preserve"> Rostock University Medical Center</w:t>
      </w:r>
      <w:r w:rsidRPr="008A7EC6">
        <w:rPr>
          <w:rFonts w:eastAsia="Times New Roman"/>
          <w:noProof w:val="0"/>
          <w:kern w:val="2"/>
          <w:sz w:val="16"/>
          <w:szCs w:val="18"/>
          <w:u w:color="0D0D0D" w:themeColor="text1" w:themeTint="F2"/>
          <w:lang w:eastAsia="de-DE" w:bidi="en-US"/>
        </w:rPr>
        <w:t>,</w:t>
      </w:r>
      <w:r w:rsidRPr="008A7EC6">
        <w:rPr>
          <w:rFonts w:eastAsia="Times New Roman"/>
          <w:noProof w:val="0"/>
          <w:kern w:val="2"/>
          <w:sz w:val="16"/>
          <w:szCs w:val="18"/>
          <w:lang w:eastAsia="de-DE" w:bidi="en-US"/>
        </w:rPr>
        <w:t xml:space="preserve"> Schillingallee 70</w:t>
      </w:r>
      <w:r w:rsidRPr="008A7EC6">
        <w:rPr>
          <w:rFonts w:eastAsia="Times New Roman"/>
          <w:noProof w:val="0"/>
          <w:kern w:val="2"/>
          <w:sz w:val="16"/>
          <w:szCs w:val="18"/>
          <w:u w:color="0D0D0D" w:themeColor="text1" w:themeTint="F2"/>
          <w:lang w:eastAsia="de-DE" w:bidi="en-US"/>
        </w:rPr>
        <w:t>,</w:t>
      </w:r>
      <w:r w:rsidRPr="008A7EC6">
        <w:rPr>
          <w:rFonts w:eastAsia="Times New Roman"/>
          <w:noProof w:val="0"/>
          <w:kern w:val="2"/>
          <w:sz w:val="16"/>
          <w:szCs w:val="18"/>
          <w:lang w:eastAsia="de-DE" w:bidi="en-US"/>
        </w:rPr>
        <w:t xml:space="preserve"> </w:t>
      </w:r>
      <w:r w:rsidRPr="008A7EC6">
        <w:rPr>
          <w:rFonts w:eastAsia="Times New Roman"/>
          <w:noProof w:val="0"/>
          <w:kern w:val="2"/>
          <w:sz w:val="16"/>
          <w:szCs w:val="18"/>
          <w:lang w:eastAsia="de-DE" w:bidi="en-US"/>
        </w:rPr>
        <w:br/>
        <w:t>18057 Rostock</w:t>
      </w:r>
      <w:r w:rsidRPr="008A7EC6">
        <w:rPr>
          <w:rFonts w:eastAsia="Times New Roman"/>
          <w:noProof w:val="0"/>
          <w:kern w:val="2"/>
          <w:sz w:val="16"/>
          <w:szCs w:val="18"/>
          <w:u w:color="0D0D0D" w:themeColor="text1" w:themeTint="F2"/>
          <w:lang w:eastAsia="de-DE" w:bidi="en-US"/>
        </w:rPr>
        <w:t>,</w:t>
      </w:r>
      <w:r w:rsidRPr="008A7EC6">
        <w:rPr>
          <w:rFonts w:eastAsia="Times New Roman"/>
          <w:noProof w:val="0"/>
          <w:kern w:val="2"/>
          <w:sz w:val="16"/>
          <w:szCs w:val="18"/>
          <w:lang w:eastAsia="de-DE" w:bidi="en-US"/>
        </w:rPr>
        <w:t xml:space="preserve"> Germany; lea.brueser@uni-rostock.de (L.B.); elisa.teichmann@web.de (E.T.)</w:t>
      </w:r>
    </w:p>
    <w:p w14:paraId="2A3C97C0" w14:textId="77777777" w:rsidR="008A7EC6" w:rsidRPr="008A7EC6" w:rsidRDefault="008A7EC6" w:rsidP="008A7EC6">
      <w:pPr>
        <w:adjustRightInd w:val="0"/>
        <w:snapToGrid w:val="0"/>
        <w:spacing w:line="200" w:lineRule="atLeast"/>
        <w:ind w:left="2806" w:hanging="198"/>
        <w:jc w:val="left"/>
        <w:rPr>
          <w:rFonts w:eastAsia="Times New Roman"/>
          <w:noProof w:val="0"/>
          <w:kern w:val="2"/>
          <w:sz w:val="16"/>
          <w:szCs w:val="18"/>
          <w:lang w:eastAsia="de-DE" w:bidi="en-US"/>
        </w:rPr>
      </w:pPr>
      <w:r w:rsidRPr="008A7EC6">
        <w:rPr>
          <w:rFonts w:eastAsia="Times New Roman"/>
          <w:b/>
          <w:noProof w:val="0"/>
          <w:kern w:val="2"/>
          <w:sz w:val="16"/>
          <w:szCs w:val="18"/>
          <w:lang w:eastAsia="de-DE" w:bidi="en-US"/>
        </w:rPr>
        <w:t>*</w:t>
      </w:r>
      <w:r w:rsidRPr="008A7EC6">
        <w:rPr>
          <w:rFonts w:eastAsia="Times New Roman"/>
          <w:noProof w:val="0"/>
          <w:kern w:val="2"/>
          <w:sz w:val="16"/>
          <w:szCs w:val="18"/>
          <w:lang w:eastAsia="de-DE" w:bidi="en-US"/>
        </w:rPr>
        <w:tab/>
        <w:t xml:space="preserve">Correspondence: </w:t>
      </w:r>
      <w:r w:rsidRPr="008A7EC6">
        <w:rPr>
          <w:rFonts w:eastAsia="Times New Roman"/>
          <w:noProof w:val="0"/>
          <w:color w:val="000000" w:themeColor="text1"/>
          <w:kern w:val="2"/>
          <w:sz w:val="16"/>
          <w:szCs w:val="18"/>
          <w:lang w:eastAsia="de-DE" w:bidi="en-US"/>
        </w:rPr>
        <w:t>burkhard.hinz@med.uni-rostock.de</w:t>
      </w:r>
      <w:r w:rsidRPr="008A7EC6">
        <w:rPr>
          <w:rFonts w:eastAsia="Times New Roman"/>
          <w:noProof w:val="0"/>
          <w:kern w:val="2"/>
          <w:sz w:val="16"/>
          <w:szCs w:val="18"/>
          <w:lang w:eastAsia="de-DE" w:bidi="en-US"/>
        </w:rPr>
        <w:t>; Tel.: +49-381-494-5770</w:t>
      </w:r>
    </w:p>
    <w:p w14:paraId="71966BFA" w14:textId="77777777" w:rsidR="008A7EC6" w:rsidRPr="008A7EC6" w:rsidRDefault="008A7EC6" w:rsidP="008A7EC6">
      <w:pPr>
        <w:adjustRightInd w:val="0"/>
        <w:snapToGrid w:val="0"/>
        <w:spacing w:line="200" w:lineRule="atLeast"/>
        <w:ind w:left="2806" w:hanging="198"/>
        <w:jc w:val="left"/>
        <w:rPr>
          <w:rFonts w:eastAsia="Times New Roman"/>
          <w:noProof w:val="0"/>
          <w:kern w:val="2"/>
          <w:sz w:val="16"/>
          <w:szCs w:val="18"/>
          <w:lang w:eastAsia="de-DE" w:bidi="en-US"/>
        </w:rPr>
      </w:pPr>
      <w:r w:rsidRPr="008A7EC6">
        <w:rPr>
          <w:rFonts w:eastAsia="Times New Roman"/>
          <w:noProof w:val="0"/>
          <w:kern w:val="2"/>
          <w:sz w:val="16"/>
          <w:szCs w:val="18"/>
          <w:vertAlign w:val="superscript"/>
          <w:lang w:eastAsia="de-DE" w:bidi="en-US"/>
        </w:rPr>
        <w:t>†</w:t>
      </w:r>
      <w:r w:rsidRPr="008A7EC6">
        <w:rPr>
          <w:rFonts w:eastAsia="Times New Roman"/>
          <w:noProof w:val="0"/>
          <w:kern w:val="2"/>
          <w:sz w:val="16"/>
          <w:szCs w:val="18"/>
          <w:lang w:eastAsia="de-DE" w:bidi="en-US"/>
        </w:rPr>
        <w:tab/>
        <w:t>These authors contributed equally to this work.</w:t>
      </w:r>
    </w:p>
    <w:p w14:paraId="564C2190" w14:textId="0ECE3D2B" w:rsidR="00110E68" w:rsidRDefault="00110E68" w:rsidP="00110E68">
      <w:pPr>
        <w:widowControl w:val="0"/>
        <w:adjustRightInd w:val="0"/>
        <w:snapToGrid w:val="0"/>
        <w:spacing w:line="200" w:lineRule="atLeast"/>
        <w:ind w:left="2806" w:hanging="198"/>
        <w:jc w:val="left"/>
        <w:rPr>
          <w:lang w:eastAsia="de-DE" w:bidi="en-US"/>
        </w:rPr>
      </w:pPr>
      <w:r>
        <w:rPr>
          <w:lang w:eastAsia="de-DE" w:bidi="en-US"/>
        </w:rPr>
        <w:br w:type="page"/>
      </w:r>
    </w:p>
    <w:p w14:paraId="41B06BE7" w14:textId="0A7BB528" w:rsidR="00DB069C" w:rsidRPr="00A45621" w:rsidRDefault="00CF1EB7" w:rsidP="00110E68">
      <w:pPr>
        <w:adjustRightInd w:val="0"/>
        <w:snapToGrid w:val="0"/>
        <w:spacing w:before="240" w:after="120" w:line="240" w:lineRule="auto"/>
        <w:jc w:val="center"/>
        <w:rPr>
          <w:b/>
          <w:bCs/>
          <w:szCs w:val="18"/>
          <w:lang w:bidi="en-US"/>
        </w:rPr>
      </w:pPr>
      <w:r>
        <w:rPr>
          <w:b/>
          <w:bCs/>
          <w:szCs w:val="18"/>
          <w:lang w:bidi="en-US"/>
        </w:rPr>
        <w:object w:dxaOrig="7070" w:dyaOrig="4247" w14:anchorId="1B00F5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68.5pt;height:262.5pt;mso-width-percent:0;mso-height-percent:0;mso-width-percent:0;mso-height-percent:0" o:ole="">
            <v:imagedata r:id="rId7" o:title="" croptop="6299f" cropbottom="15546f" cropleft="8791f" cropright="9646f"/>
          </v:shape>
          <o:OLEObject Type="Embed" ProgID="PowerPoint.Show.12" ShapeID="_x0000_i1025" DrawAspect="Content" ObjectID="_1760855110" r:id="rId8"/>
        </w:object>
      </w:r>
    </w:p>
    <w:p w14:paraId="2828478C" w14:textId="1F1E8B22" w:rsidR="00EA6902" w:rsidRPr="003F723B" w:rsidRDefault="00DB069C" w:rsidP="00110E68">
      <w:pPr>
        <w:pStyle w:val="MDPI51figurecaption"/>
        <w:ind w:left="0"/>
        <w:rPr>
          <w:color w:val="auto"/>
        </w:rPr>
      </w:pPr>
      <w:r w:rsidRPr="00F646DF">
        <w:rPr>
          <w:b/>
          <w:bCs/>
          <w:color w:val="auto"/>
        </w:rPr>
        <w:t>Supplementary Figure S1</w:t>
      </w:r>
      <w:r w:rsidRPr="00F646DF">
        <w:rPr>
          <w:color w:val="auto"/>
        </w:rPr>
        <w:t xml:space="preserve">: Effect of flavonoids on </w:t>
      </w:r>
      <w:r w:rsidR="00702CC6">
        <w:rPr>
          <w:color w:val="auto"/>
        </w:rPr>
        <w:t>metabolic activity</w:t>
      </w:r>
      <w:r w:rsidRPr="00F646DF">
        <w:rPr>
          <w:color w:val="auto"/>
        </w:rPr>
        <w:t xml:space="preserve"> of HCA</w:t>
      </w:r>
      <w:r w:rsidR="00C7559B">
        <w:rPr>
          <w:color w:val="auto"/>
        </w:rPr>
        <w:t>E</w:t>
      </w:r>
      <w:r w:rsidRPr="00F646DF">
        <w:rPr>
          <w:color w:val="auto"/>
        </w:rPr>
        <w:t xml:space="preserve">C under basal </w:t>
      </w:r>
      <w:r w:rsidR="00C7559B">
        <w:rPr>
          <w:color w:val="auto"/>
        </w:rPr>
        <w:t>or</w:t>
      </w:r>
      <w:r w:rsidRPr="00F646DF">
        <w:rPr>
          <w:color w:val="auto"/>
        </w:rPr>
        <w:t xml:space="preserve"> IL-1β-stimulated </w:t>
      </w:r>
      <w:r w:rsidR="00C7559B">
        <w:rPr>
          <w:color w:val="auto"/>
        </w:rPr>
        <w:t xml:space="preserve">conditions </w:t>
      </w:r>
      <w:r w:rsidR="00747809">
        <w:rPr>
          <w:color w:val="auto"/>
        </w:rPr>
        <w:t xml:space="preserve">as determined by the </w:t>
      </w:r>
      <w:r w:rsidR="00C7559B">
        <w:rPr>
          <w:color w:val="auto"/>
        </w:rPr>
        <w:t>WST-1 assay</w:t>
      </w:r>
      <w:r w:rsidRPr="00F646DF">
        <w:rPr>
          <w:color w:val="auto"/>
        </w:rPr>
        <w:t>. Cells were preincubated with increasing concentrations of quercetin (</w:t>
      </w:r>
      <w:r w:rsidRPr="00F646DF">
        <w:rPr>
          <w:b/>
          <w:bCs/>
          <w:color w:val="auto"/>
        </w:rPr>
        <w:t>A</w:t>
      </w:r>
      <w:r w:rsidRPr="00F646DF">
        <w:rPr>
          <w:color w:val="auto"/>
        </w:rPr>
        <w:t>), kaempferol (</w:t>
      </w:r>
      <w:r w:rsidRPr="00F646DF">
        <w:rPr>
          <w:b/>
          <w:bCs/>
          <w:color w:val="auto"/>
        </w:rPr>
        <w:t>B</w:t>
      </w:r>
      <w:r w:rsidRPr="00F646DF">
        <w:rPr>
          <w:color w:val="auto"/>
        </w:rPr>
        <w:t>), luteolin (</w:t>
      </w:r>
      <w:r w:rsidRPr="00F646DF">
        <w:rPr>
          <w:b/>
          <w:bCs/>
          <w:color w:val="auto"/>
        </w:rPr>
        <w:t>C</w:t>
      </w:r>
      <w:r w:rsidRPr="00F646DF">
        <w:rPr>
          <w:color w:val="auto"/>
        </w:rPr>
        <w:t>), cannflavin A (</w:t>
      </w:r>
      <w:r w:rsidRPr="00F646DF">
        <w:rPr>
          <w:b/>
          <w:bCs/>
          <w:color w:val="auto"/>
        </w:rPr>
        <w:t>D</w:t>
      </w:r>
      <w:r w:rsidRPr="00F646DF">
        <w:rPr>
          <w:color w:val="auto"/>
        </w:rPr>
        <w:t>), or vehicle for 1 h</w:t>
      </w:r>
      <w:r w:rsidR="005839D9">
        <w:rPr>
          <w:color w:val="auto"/>
        </w:rPr>
        <w:t>,</w:t>
      </w:r>
      <w:r w:rsidRPr="00F646DF">
        <w:rPr>
          <w:color w:val="auto"/>
        </w:rPr>
        <w:t xml:space="preserve"> </w:t>
      </w:r>
      <w:r w:rsidR="005839D9">
        <w:rPr>
          <w:color w:val="auto"/>
        </w:rPr>
        <w:t xml:space="preserve">followed by the addition of </w:t>
      </w:r>
      <w:r w:rsidR="005839D9" w:rsidRPr="00486C51">
        <w:rPr>
          <w:color w:val="auto"/>
        </w:rPr>
        <w:t>10 ng/mL IL-1</w:t>
      </w:r>
      <w:r w:rsidR="005839D9" w:rsidRPr="00486C51">
        <w:rPr>
          <w:rFonts w:ascii="Times New Roman" w:hAnsi="Times New Roman"/>
          <w:color w:val="auto"/>
        </w:rPr>
        <w:t>β</w:t>
      </w:r>
      <w:r w:rsidR="005839D9" w:rsidRPr="00486C51">
        <w:rPr>
          <w:color w:val="auto"/>
        </w:rPr>
        <w:t xml:space="preserve"> </w:t>
      </w:r>
      <w:r w:rsidR="005839D9">
        <w:rPr>
          <w:color w:val="auto"/>
        </w:rPr>
        <w:t xml:space="preserve">or its vehicle and </w:t>
      </w:r>
      <w:r w:rsidR="00981B09">
        <w:rPr>
          <w:color w:val="auto"/>
        </w:rPr>
        <w:t>subsequent</w:t>
      </w:r>
      <w:r w:rsidR="005839D9">
        <w:rPr>
          <w:color w:val="auto"/>
        </w:rPr>
        <w:t xml:space="preserve"> coincubation </w:t>
      </w:r>
      <w:r w:rsidR="005839D9" w:rsidRPr="00486C51">
        <w:rPr>
          <w:color w:val="auto"/>
        </w:rPr>
        <w:t>for 24 h</w:t>
      </w:r>
      <w:r w:rsidRPr="00F646DF">
        <w:rPr>
          <w:rFonts w:hint="eastAsia"/>
          <w:color w:val="auto"/>
        </w:rPr>
        <w:t>. Thereafter, met</w:t>
      </w:r>
      <w:r w:rsidRPr="00F646DF">
        <w:rPr>
          <w:color w:val="auto"/>
        </w:rPr>
        <w:t>a</w:t>
      </w:r>
      <w:r w:rsidRPr="00F646DF">
        <w:rPr>
          <w:rFonts w:hint="eastAsia"/>
          <w:color w:val="auto"/>
        </w:rPr>
        <w:t xml:space="preserve">bolic activity was determined </w:t>
      </w:r>
      <w:r w:rsidR="00666396">
        <w:rPr>
          <w:color w:val="auto"/>
        </w:rPr>
        <w:t>via</w:t>
      </w:r>
      <w:r w:rsidRPr="00F646DF">
        <w:rPr>
          <w:rFonts w:hint="eastAsia"/>
          <w:color w:val="auto"/>
        </w:rPr>
        <w:t xml:space="preserve"> WST-1 assay. </w:t>
      </w:r>
      <w:r w:rsidR="005839D9">
        <w:rPr>
          <w:color w:val="auto"/>
        </w:rPr>
        <w:t>Viability values of v</w:t>
      </w:r>
      <w:r w:rsidRPr="00F646DF">
        <w:rPr>
          <w:color w:val="auto"/>
        </w:rPr>
        <w:t>ehicle-treated cells</w:t>
      </w:r>
      <w:r w:rsidRPr="00F646DF">
        <w:rPr>
          <w:rFonts w:hint="eastAsia"/>
          <w:color w:val="auto"/>
        </w:rPr>
        <w:t xml:space="preserve"> </w:t>
      </w:r>
      <w:r w:rsidR="005839D9">
        <w:rPr>
          <w:color w:val="auto"/>
        </w:rPr>
        <w:t>were</w:t>
      </w:r>
      <w:r w:rsidRPr="00F646DF">
        <w:rPr>
          <w:rFonts w:hint="eastAsia"/>
          <w:color w:val="auto"/>
        </w:rPr>
        <w:t xml:space="preserve"> </w:t>
      </w:r>
      <w:r w:rsidR="005839D9">
        <w:rPr>
          <w:color w:val="auto"/>
        </w:rPr>
        <w:t xml:space="preserve">set to </w:t>
      </w:r>
      <w:r w:rsidRPr="00F646DF">
        <w:rPr>
          <w:rFonts w:hint="eastAsia"/>
          <w:color w:val="auto"/>
        </w:rPr>
        <w:t xml:space="preserve">100%. Data are presented as means ± SEM of </w:t>
      </w:r>
      <w:r w:rsidRPr="00F646DF">
        <w:rPr>
          <w:i/>
          <w:iCs/>
          <w:color w:val="auto"/>
        </w:rPr>
        <w:t>n</w:t>
      </w:r>
      <w:r w:rsidR="00747809">
        <w:rPr>
          <w:i/>
          <w:iCs/>
          <w:color w:val="auto"/>
        </w:rPr>
        <w:t> </w:t>
      </w:r>
      <w:r w:rsidRPr="00F646DF">
        <w:rPr>
          <w:rFonts w:hint="eastAsia"/>
          <w:color w:val="auto"/>
        </w:rPr>
        <w:t>= 9</w:t>
      </w:r>
      <w:r w:rsidR="003F1F03">
        <w:rPr>
          <w:color w:val="auto"/>
        </w:rPr>
        <w:t xml:space="preserve"> (</w:t>
      </w:r>
      <w:r w:rsidR="003F1F03" w:rsidRPr="003F1F03">
        <w:rPr>
          <w:b/>
          <w:color w:val="auto"/>
        </w:rPr>
        <w:t>C</w:t>
      </w:r>
      <w:r w:rsidR="003F1F03">
        <w:rPr>
          <w:color w:val="auto"/>
        </w:rPr>
        <w:t>,</w:t>
      </w:r>
      <w:r w:rsidR="003F1F03" w:rsidRPr="003F1F03">
        <w:rPr>
          <w:b/>
          <w:color w:val="auto"/>
        </w:rPr>
        <w:t>D</w:t>
      </w:r>
      <w:r w:rsidR="003F1F03">
        <w:rPr>
          <w:color w:val="auto"/>
        </w:rPr>
        <w:t xml:space="preserve">) or </w:t>
      </w:r>
      <w:r w:rsidR="003F1F03" w:rsidRPr="00F646DF">
        <w:rPr>
          <w:i/>
          <w:iCs/>
          <w:color w:val="auto"/>
        </w:rPr>
        <w:t>n</w:t>
      </w:r>
      <w:r w:rsidR="003F1F03" w:rsidRPr="00F646DF">
        <w:rPr>
          <w:rFonts w:hint="eastAsia"/>
          <w:color w:val="auto"/>
        </w:rPr>
        <w:t xml:space="preserve"> = </w:t>
      </w:r>
      <w:r w:rsidR="003F1F03">
        <w:rPr>
          <w:color w:val="auto"/>
        </w:rPr>
        <w:t>8–</w:t>
      </w:r>
      <w:r w:rsidR="003F1F03" w:rsidRPr="00F646DF">
        <w:rPr>
          <w:rFonts w:hint="eastAsia"/>
          <w:color w:val="auto"/>
        </w:rPr>
        <w:t>9</w:t>
      </w:r>
      <w:r w:rsidR="003F1F03">
        <w:rPr>
          <w:color w:val="auto"/>
        </w:rPr>
        <w:t xml:space="preserve"> (</w:t>
      </w:r>
      <w:r w:rsidR="003F1F03" w:rsidRPr="003F1F03">
        <w:rPr>
          <w:b/>
          <w:color w:val="auto"/>
        </w:rPr>
        <w:t>A</w:t>
      </w:r>
      <w:r w:rsidR="003F1F03">
        <w:rPr>
          <w:color w:val="auto"/>
        </w:rPr>
        <w:t>,</w:t>
      </w:r>
      <w:r w:rsidR="003F1F03" w:rsidRPr="003F1F03">
        <w:rPr>
          <w:b/>
          <w:color w:val="auto"/>
        </w:rPr>
        <w:t>B</w:t>
      </w:r>
      <w:r w:rsidR="003F1F03">
        <w:rPr>
          <w:color w:val="auto"/>
        </w:rPr>
        <w:t xml:space="preserve">) of </w:t>
      </w:r>
      <w:r w:rsidR="008A7EC6">
        <w:rPr>
          <w:color w:val="auto"/>
        </w:rPr>
        <w:t>three</w:t>
      </w:r>
      <w:r w:rsidR="00967DE5">
        <w:rPr>
          <w:color w:val="auto"/>
        </w:rPr>
        <w:t> </w:t>
      </w:r>
      <w:r w:rsidRPr="00F646DF">
        <w:rPr>
          <w:color w:val="auto"/>
        </w:rPr>
        <w:t xml:space="preserve">independent </w:t>
      </w:r>
      <w:r w:rsidRPr="00F646DF">
        <w:rPr>
          <w:rFonts w:hint="eastAsia"/>
          <w:color w:val="auto"/>
        </w:rPr>
        <w:t>experiments</w:t>
      </w:r>
      <w:r w:rsidR="003F1F03">
        <w:rPr>
          <w:color w:val="auto"/>
        </w:rPr>
        <w:t xml:space="preserve"> each</w:t>
      </w:r>
      <w:r w:rsidRPr="00F646DF">
        <w:rPr>
          <w:rFonts w:hint="eastAsia"/>
          <w:color w:val="auto"/>
        </w:rPr>
        <w:t xml:space="preserve">. </w:t>
      </w:r>
      <w:r w:rsidRPr="00F646DF">
        <w:rPr>
          <w:rFonts w:hint="eastAsia"/>
          <w:i/>
          <w:iCs/>
          <w:color w:val="auto"/>
        </w:rPr>
        <w:t>*</w:t>
      </w:r>
      <w:r w:rsidRPr="00F646DF">
        <w:rPr>
          <w:i/>
          <w:iCs/>
          <w:color w:val="auto"/>
        </w:rPr>
        <w:t xml:space="preserve"> p</w:t>
      </w:r>
      <w:r w:rsidRPr="00F646DF">
        <w:rPr>
          <w:rFonts w:hint="eastAsia"/>
          <w:color w:val="auto"/>
        </w:rPr>
        <w:t xml:space="preserve"> </w:t>
      </w:r>
      <w:r w:rsidRPr="00F646DF">
        <w:rPr>
          <w:color w:val="auto"/>
          <w:szCs w:val="18"/>
        </w:rPr>
        <w:t>≤</w:t>
      </w:r>
      <w:r w:rsidRPr="00F646DF">
        <w:rPr>
          <w:rFonts w:hint="eastAsia"/>
          <w:color w:val="auto"/>
        </w:rPr>
        <w:t xml:space="preserve"> 0.05, </w:t>
      </w:r>
      <w:r w:rsidRPr="00F646DF">
        <w:rPr>
          <w:rFonts w:hint="eastAsia"/>
          <w:i/>
          <w:iCs/>
          <w:color w:val="auto"/>
        </w:rPr>
        <w:t>**</w:t>
      </w:r>
      <w:r w:rsidRPr="00F646DF">
        <w:rPr>
          <w:i/>
          <w:iCs/>
          <w:color w:val="auto"/>
        </w:rPr>
        <w:t xml:space="preserve"> p</w:t>
      </w:r>
      <w:r w:rsidRPr="00F646DF">
        <w:rPr>
          <w:rFonts w:hint="eastAsia"/>
          <w:color w:val="auto"/>
        </w:rPr>
        <w:t xml:space="preserve"> </w:t>
      </w:r>
      <w:r w:rsidRPr="00F646DF">
        <w:rPr>
          <w:color w:val="auto"/>
          <w:szCs w:val="18"/>
        </w:rPr>
        <w:t>≤</w:t>
      </w:r>
      <w:r w:rsidRPr="00F646DF">
        <w:rPr>
          <w:rFonts w:hint="eastAsia"/>
          <w:color w:val="auto"/>
        </w:rPr>
        <w:t xml:space="preserve"> 0.01, ***</w:t>
      </w:r>
      <w:r w:rsidRPr="00F646DF">
        <w:rPr>
          <w:color w:val="auto"/>
        </w:rPr>
        <w:t> </w:t>
      </w:r>
      <w:r w:rsidRPr="00F646DF">
        <w:rPr>
          <w:i/>
          <w:iCs/>
          <w:color w:val="auto"/>
        </w:rPr>
        <w:t>p </w:t>
      </w:r>
      <w:r w:rsidRPr="00F646DF">
        <w:rPr>
          <w:color w:val="auto"/>
          <w:szCs w:val="18"/>
        </w:rPr>
        <w:t>≤</w:t>
      </w:r>
      <w:r w:rsidRPr="00F646DF">
        <w:rPr>
          <w:rFonts w:hint="eastAsia"/>
          <w:color w:val="auto"/>
        </w:rPr>
        <w:t xml:space="preserve"> 0.00</w:t>
      </w:r>
      <w:r w:rsidRPr="00A93E30">
        <w:rPr>
          <w:rFonts w:hint="eastAsia"/>
          <w:color w:val="auto"/>
        </w:rPr>
        <w:t xml:space="preserve">1 </w:t>
      </w:r>
      <w:r w:rsidR="009025C6" w:rsidRPr="00A93E30">
        <w:rPr>
          <w:rFonts w:hint="eastAsia"/>
          <w:color w:val="auto"/>
        </w:rPr>
        <w:t>vs. vehicle control</w:t>
      </w:r>
      <w:r w:rsidR="009025C6" w:rsidRPr="00A93E30">
        <w:rPr>
          <w:color w:val="auto"/>
        </w:rPr>
        <w:t xml:space="preserve"> (leftmost white bar)</w:t>
      </w:r>
      <w:r w:rsidRPr="00A93E30">
        <w:rPr>
          <w:rFonts w:hint="eastAsia"/>
          <w:color w:val="auto"/>
        </w:rPr>
        <w:t>; #</w:t>
      </w:r>
      <w:r w:rsidRPr="00A93E30">
        <w:rPr>
          <w:color w:val="auto"/>
        </w:rPr>
        <w:t xml:space="preserve"> </w:t>
      </w:r>
      <w:r w:rsidRPr="00A93E30">
        <w:rPr>
          <w:i/>
          <w:iCs/>
          <w:color w:val="auto"/>
        </w:rPr>
        <w:t>p</w:t>
      </w:r>
      <w:r w:rsidRPr="00A93E30">
        <w:rPr>
          <w:rFonts w:hint="eastAsia"/>
          <w:color w:val="auto"/>
        </w:rPr>
        <w:t xml:space="preserve"> </w:t>
      </w:r>
      <w:r w:rsidRPr="00A93E30">
        <w:rPr>
          <w:color w:val="auto"/>
          <w:szCs w:val="18"/>
        </w:rPr>
        <w:t>≤</w:t>
      </w:r>
      <w:r w:rsidRPr="00A93E30">
        <w:rPr>
          <w:rFonts w:hint="eastAsia"/>
          <w:color w:val="auto"/>
        </w:rPr>
        <w:t xml:space="preserve"> </w:t>
      </w:r>
      <w:r w:rsidRPr="00F646DF">
        <w:rPr>
          <w:rFonts w:hint="eastAsia"/>
          <w:color w:val="auto"/>
        </w:rPr>
        <w:t xml:space="preserve">0.05, </w:t>
      </w:r>
      <w:r w:rsidR="003F1F03" w:rsidRPr="00F646DF">
        <w:rPr>
          <w:rFonts w:hint="eastAsia"/>
          <w:color w:val="auto"/>
        </w:rPr>
        <w:t>##</w:t>
      </w:r>
      <w:r w:rsidR="00F82387">
        <w:rPr>
          <w:color w:val="auto"/>
        </w:rPr>
        <w:t> </w:t>
      </w:r>
      <w:r w:rsidR="003F1F03" w:rsidRPr="00F646DF">
        <w:rPr>
          <w:i/>
          <w:iCs/>
          <w:color w:val="auto"/>
        </w:rPr>
        <w:t>p</w:t>
      </w:r>
      <w:r w:rsidR="00F82387">
        <w:rPr>
          <w:i/>
          <w:iCs/>
          <w:color w:val="auto"/>
        </w:rPr>
        <w:t> </w:t>
      </w:r>
      <w:r w:rsidR="003F1F03" w:rsidRPr="00F646DF">
        <w:rPr>
          <w:color w:val="auto"/>
          <w:szCs w:val="18"/>
        </w:rPr>
        <w:t>≤</w:t>
      </w:r>
      <w:r w:rsidR="00F82387">
        <w:rPr>
          <w:color w:val="auto"/>
          <w:szCs w:val="18"/>
        </w:rPr>
        <w:t> </w:t>
      </w:r>
      <w:r w:rsidR="003F1F03" w:rsidRPr="00F646DF">
        <w:rPr>
          <w:rFonts w:hint="eastAsia"/>
          <w:color w:val="auto"/>
        </w:rPr>
        <w:t>0.01</w:t>
      </w:r>
      <w:r w:rsidR="003F1F03">
        <w:rPr>
          <w:color w:val="auto"/>
        </w:rPr>
        <w:t>,</w:t>
      </w:r>
      <w:r w:rsidR="003F1F03" w:rsidRPr="00F646DF">
        <w:rPr>
          <w:rFonts w:hint="eastAsia"/>
          <w:color w:val="auto"/>
        </w:rPr>
        <w:t xml:space="preserve"> </w:t>
      </w:r>
      <w:r w:rsidRPr="00F646DF">
        <w:rPr>
          <w:rFonts w:hint="eastAsia"/>
          <w:color w:val="auto"/>
        </w:rPr>
        <w:t>###</w:t>
      </w:r>
      <w:r w:rsidRPr="00F646DF">
        <w:rPr>
          <w:i/>
          <w:iCs/>
          <w:color w:val="auto"/>
        </w:rPr>
        <w:t xml:space="preserve"> p</w:t>
      </w:r>
      <w:r w:rsidRPr="00F646DF">
        <w:rPr>
          <w:rFonts w:hint="eastAsia"/>
          <w:color w:val="auto"/>
        </w:rPr>
        <w:t xml:space="preserve"> </w:t>
      </w:r>
      <w:r w:rsidRPr="00F646DF">
        <w:rPr>
          <w:color w:val="auto"/>
          <w:szCs w:val="18"/>
        </w:rPr>
        <w:t>≤</w:t>
      </w:r>
      <w:r w:rsidRPr="00F646DF">
        <w:rPr>
          <w:rFonts w:hint="eastAsia"/>
          <w:color w:val="auto"/>
        </w:rPr>
        <w:t xml:space="preserve"> 0.001 vs</w:t>
      </w:r>
      <w:r w:rsidRPr="00F646DF">
        <w:rPr>
          <w:color w:val="auto"/>
        </w:rPr>
        <w:t>.</w:t>
      </w:r>
      <w:r w:rsidRPr="00F646DF">
        <w:rPr>
          <w:rFonts w:hint="eastAsia"/>
          <w:color w:val="auto"/>
        </w:rPr>
        <w:t xml:space="preserve"> IL-1β-stimulated cells; </w:t>
      </w:r>
      <w:r w:rsidRPr="00F646DF">
        <w:rPr>
          <w:color w:val="auto"/>
        </w:rPr>
        <w:t>o</w:t>
      </w:r>
      <w:r w:rsidRPr="00F646DF">
        <w:rPr>
          <w:rFonts w:hint="eastAsia"/>
          <w:color w:val="auto"/>
        </w:rPr>
        <w:t xml:space="preserve">ne-way ANOVA </w:t>
      </w:r>
      <w:r w:rsidR="0017461B">
        <w:rPr>
          <w:color w:val="auto"/>
        </w:rPr>
        <w:t>with</w:t>
      </w:r>
      <w:r w:rsidRPr="00F646DF">
        <w:rPr>
          <w:rFonts w:hint="eastAsia"/>
          <w:color w:val="auto"/>
        </w:rPr>
        <w:t xml:space="preserve"> Bonferroni</w:t>
      </w:r>
      <w:r w:rsidR="0017461B">
        <w:rPr>
          <w:rFonts w:hint="eastAsia"/>
          <w:color w:val="auto"/>
        </w:rPr>
        <w:t>´s</w:t>
      </w:r>
      <w:r w:rsidRPr="00F646DF">
        <w:rPr>
          <w:rFonts w:hint="eastAsia"/>
          <w:color w:val="auto"/>
        </w:rPr>
        <w:t xml:space="preserve"> </w:t>
      </w:r>
      <w:r w:rsidRPr="00F646DF">
        <w:rPr>
          <w:color w:val="auto"/>
        </w:rPr>
        <w:t xml:space="preserve">post hoc </w:t>
      </w:r>
      <w:r w:rsidRPr="00F646DF">
        <w:rPr>
          <w:rFonts w:hint="eastAsia"/>
          <w:color w:val="auto"/>
        </w:rPr>
        <w:t>test.</w:t>
      </w:r>
    </w:p>
    <w:sectPr w:rsidR="00EA6902" w:rsidRPr="003F723B" w:rsidSect="00AF6744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720" w:bottom="1077" w:left="720" w:header="1020" w:footer="340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0B142" w14:textId="77777777" w:rsidR="00B448A7" w:rsidRDefault="00B448A7">
      <w:pPr>
        <w:spacing w:line="240" w:lineRule="auto"/>
      </w:pPr>
      <w:r>
        <w:separator/>
      </w:r>
    </w:p>
  </w:endnote>
  <w:endnote w:type="continuationSeparator" w:id="0">
    <w:p w14:paraId="5EDE389B" w14:textId="77777777" w:rsidR="00B448A7" w:rsidRDefault="00B448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4B87" w14:textId="77777777" w:rsidR="0004400E" w:rsidRPr="00A71A3D" w:rsidRDefault="0004400E" w:rsidP="0004400E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DA951" w14:textId="77777777" w:rsidR="00471F5A" w:rsidRDefault="00471F5A" w:rsidP="00A24869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  <w:iCs/>
        <w:lang w:val="fr-CH"/>
      </w:rPr>
    </w:pPr>
  </w:p>
  <w:p w14:paraId="67956928" w14:textId="77777777" w:rsidR="0004400E" w:rsidRPr="008B308E" w:rsidRDefault="0004400E" w:rsidP="004340C2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 w:rsidRPr="00B04A30">
      <w:rPr>
        <w:i/>
        <w:iCs/>
        <w:lang w:val="fr-CH"/>
      </w:rPr>
      <w:t>Int. J. Mol. Sci.</w:t>
    </w:r>
    <w:r w:rsidRPr="00176A50">
      <w:rPr>
        <w:i/>
        <w:lang w:val="fr-CH"/>
      </w:rPr>
      <w:t xml:space="preserve"> </w:t>
    </w:r>
    <w:r w:rsidR="00FF5DF8">
      <w:rPr>
        <w:b/>
        <w:iCs/>
        <w:lang w:val="fr-CH"/>
      </w:rPr>
      <w:t>2023</w:t>
    </w:r>
    <w:r w:rsidR="00506BC0" w:rsidRPr="00506BC0">
      <w:rPr>
        <w:iCs/>
        <w:lang w:val="fr-CH"/>
      </w:rPr>
      <w:t>,</w:t>
    </w:r>
    <w:r w:rsidR="00FF5DF8">
      <w:rPr>
        <w:i/>
        <w:iCs/>
        <w:lang w:val="fr-CH"/>
      </w:rPr>
      <w:t xml:space="preserve"> 24</w:t>
    </w:r>
    <w:r w:rsidR="00506BC0" w:rsidRPr="00506BC0">
      <w:rPr>
        <w:iCs/>
        <w:lang w:val="fr-CH"/>
      </w:rPr>
      <w:t xml:space="preserve">, </w:t>
    </w:r>
    <w:r w:rsidR="000B74CE">
      <w:rPr>
        <w:iCs/>
        <w:lang w:val="fr-CH"/>
      </w:rPr>
      <w:t>x</w:t>
    </w:r>
    <w:r w:rsidR="00471F5A">
      <w:rPr>
        <w:iCs/>
        <w:lang w:val="fr-CH"/>
      </w:rPr>
      <w:t>. https://doi.org/10.3390/xxxxx</w:t>
    </w:r>
    <w:r w:rsidR="004340C2" w:rsidRPr="008B308E">
      <w:rPr>
        <w:lang w:val="fr-CH"/>
      </w:rPr>
      <w:tab/>
    </w:r>
    <w:r w:rsidRPr="008B308E">
      <w:rPr>
        <w:lang w:val="fr-CH"/>
      </w:rPr>
      <w:t>www.mdpi.com/journal/</w:t>
    </w:r>
    <w:r>
      <w:t>ijms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A7987" w14:textId="77777777" w:rsidR="00B448A7" w:rsidRDefault="00B448A7">
      <w:pPr>
        <w:spacing w:line="240" w:lineRule="auto"/>
      </w:pPr>
      <w:r>
        <w:separator/>
      </w:r>
    </w:p>
  </w:footnote>
  <w:footnote w:type="continuationSeparator" w:id="0">
    <w:p w14:paraId="4647F604" w14:textId="77777777" w:rsidR="00B448A7" w:rsidRDefault="00B448A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81F3E" w14:textId="77777777" w:rsidR="0004400E" w:rsidRDefault="0004400E" w:rsidP="0004400E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5DCBC" w14:textId="6F3A9DD7" w:rsidR="00471F5A" w:rsidRDefault="0004400E" w:rsidP="004340C2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Int. J. Mol. Sci. </w:t>
    </w:r>
    <w:r w:rsidR="00FF5DF8">
      <w:rPr>
        <w:b/>
        <w:sz w:val="16"/>
      </w:rPr>
      <w:t>2023</w:t>
    </w:r>
    <w:r w:rsidR="00506BC0" w:rsidRPr="00506BC0">
      <w:rPr>
        <w:sz w:val="16"/>
      </w:rPr>
      <w:t>,</w:t>
    </w:r>
    <w:r w:rsidR="00FF5DF8">
      <w:rPr>
        <w:i/>
        <w:sz w:val="16"/>
      </w:rPr>
      <w:t xml:space="preserve"> 24</w:t>
    </w:r>
    <w:r w:rsidR="000B74CE">
      <w:rPr>
        <w:sz w:val="16"/>
      </w:rPr>
      <w:t>, x FOR PEER REVIEW</w:t>
    </w:r>
    <w:r w:rsidR="004340C2">
      <w:rPr>
        <w:sz w:val="16"/>
      </w:rPr>
      <w:tab/>
    </w:r>
    <w:r w:rsidR="000B74CE">
      <w:rPr>
        <w:sz w:val="16"/>
      </w:rPr>
      <w:fldChar w:fldCharType="begin"/>
    </w:r>
    <w:r w:rsidR="000B74CE">
      <w:rPr>
        <w:sz w:val="16"/>
      </w:rPr>
      <w:instrText xml:space="preserve"> PAGE   \* MERGEFORMAT </w:instrText>
    </w:r>
    <w:r w:rsidR="000B74CE">
      <w:rPr>
        <w:sz w:val="16"/>
      </w:rPr>
      <w:fldChar w:fldCharType="separate"/>
    </w:r>
    <w:r w:rsidR="00666396">
      <w:rPr>
        <w:sz w:val="16"/>
      </w:rPr>
      <w:t>2</w:t>
    </w:r>
    <w:r w:rsidR="000B74CE">
      <w:rPr>
        <w:sz w:val="16"/>
      </w:rPr>
      <w:fldChar w:fldCharType="end"/>
    </w:r>
    <w:r w:rsidR="000B74CE">
      <w:rPr>
        <w:sz w:val="16"/>
      </w:rPr>
      <w:t xml:space="preserve"> of </w:t>
    </w:r>
    <w:r w:rsidR="000B74CE">
      <w:rPr>
        <w:sz w:val="16"/>
      </w:rPr>
      <w:fldChar w:fldCharType="begin"/>
    </w:r>
    <w:r w:rsidR="000B74CE">
      <w:rPr>
        <w:sz w:val="16"/>
      </w:rPr>
      <w:instrText xml:space="preserve"> NUMPAGES   \* MERGEFORMAT </w:instrText>
    </w:r>
    <w:r w:rsidR="000B74CE">
      <w:rPr>
        <w:sz w:val="16"/>
      </w:rPr>
      <w:fldChar w:fldCharType="separate"/>
    </w:r>
    <w:r w:rsidR="00666396">
      <w:rPr>
        <w:sz w:val="16"/>
      </w:rPr>
      <w:t>2</w:t>
    </w:r>
    <w:r w:rsidR="000B74CE">
      <w:rPr>
        <w:sz w:val="16"/>
      </w:rPr>
      <w:fldChar w:fldCharType="end"/>
    </w:r>
  </w:p>
  <w:p w14:paraId="5411FF8C" w14:textId="49735653" w:rsidR="0004400E" w:rsidRPr="003257E1" w:rsidRDefault="00CF1EB7" w:rsidP="00A24869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  <w:r>
      <w:rPr>
        <w:sz w:val="16"/>
      </w:rPr>
      <w:object w:dxaOrig="6223" w:dyaOrig="7077" w14:anchorId="68C389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311pt;height:354pt;mso-width-percent:0;mso-height-percent:0;mso-width-percent:0;mso-height-percent:0" o:ole="">
          <v:imagedata r:id="rId1" o:title=""/>
        </v:shape>
        <o:OLEObject Type="Embed" ProgID="PowerPoint.Show.12" ShapeID="_x0000_i1026" DrawAspect="Content" ObjectID="_1760855111" r:id="rId2"/>
      </w:obje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471F5A" w:rsidRPr="004340C2" w14:paraId="67C140D2" w14:textId="77777777" w:rsidTr="005332CC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425649BA" w14:textId="77777777" w:rsidR="00471F5A" w:rsidRPr="00762525" w:rsidRDefault="000B1F19" w:rsidP="004340C2">
          <w:pPr>
            <w:pStyle w:val="Header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762525">
            <w:rPr>
              <w:rFonts w:eastAsia="DengXian"/>
              <w:b/>
              <w:bCs/>
              <w:lang w:val="de-DE" w:eastAsia="de-DE"/>
            </w:rPr>
            <w:drawing>
              <wp:inline distT="0" distB="0" distL="0" distR="0" wp14:anchorId="6E561995" wp14:editId="78204A28">
                <wp:extent cx="1669415" cy="436245"/>
                <wp:effectExtent l="0" t="0" r="0" b="0"/>
                <wp:docPr id="1" name="Picture 3" descr="C:\Users\home\Desktop\logos\ijms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Desktop\logos\ijms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9415" cy="43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03574A67" w14:textId="77777777" w:rsidR="00471F5A" w:rsidRPr="00762525" w:rsidRDefault="00471F5A" w:rsidP="004340C2">
          <w:pPr>
            <w:pStyle w:val="Header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46CDFF20" w14:textId="77777777" w:rsidR="00471F5A" w:rsidRPr="00762525" w:rsidRDefault="005332CC" w:rsidP="005332CC">
          <w:pPr>
            <w:pStyle w:val="Header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  <w:lang w:val="de-DE" w:eastAsia="de-DE"/>
            </w:rPr>
            <w:drawing>
              <wp:inline distT="0" distB="0" distL="0" distR="0" wp14:anchorId="09C9E96E" wp14:editId="220CCF0B">
                <wp:extent cx="540000" cy="360000"/>
                <wp:effectExtent l="0" t="0" r="0" b="2540"/>
                <wp:docPr id="7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BE09C17" w14:textId="77777777" w:rsidR="0004400E" w:rsidRPr="00471F5A" w:rsidRDefault="0004400E" w:rsidP="00A24869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468F5"/>
    <w:multiLevelType w:val="hybridMultilevel"/>
    <w:tmpl w:val="551C9AE8"/>
    <w:lvl w:ilvl="0" w:tplc="E264CA32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77E02BF6"/>
    <w:lvl w:ilvl="0" w:tplc="664029F2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9" w15:restartNumberingAfterBreak="0">
    <w:nsid w:val="70012E46"/>
    <w:multiLevelType w:val="hybridMultilevel"/>
    <w:tmpl w:val="7946DCD0"/>
    <w:lvl w:ilvl="0" w:tplc="5C06B1C6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311A3B"/>
    <w:multiLevelType w:val="hybridMultilevel"/>
    <w:tmpl w:val="5EB4AE68"/>
    <w:lvl w:ilvl="0" w:tplc="42505D78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49767922">
    <w:abstractNumId w:val="4"/>
  </w:num>
  <w:num w:numId="2" w16cid:durableId="83040621">
    <w:abstractNumId w:val="6"/>
  </w:num>
  <w:num w:numId="3" w16cid:durableId="1721779218">
    <w:abstractNumId w:val="3"/>
  </w:num>
  <w:num w:numId="4" w16cid:durableId="20600057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46597090">
    <w:abstractNumId w:val="5"/>
  </w:num>
  <w:num w:numId="6" w16cid:durableId="1271544686">
    <w:abstractNumId w:val="8"/>
  </w:num>
  <w:num w:numId="7" w16cid:durableId="241112451">
    <w:abstractNumId w:val="2"/>
  </w:num>
  <w:num w:numId="8" w16cid:durableId="1571698623">
    <w:abstractNumId w:val="8"/>
  </w:num>
  <w:num w:numId="9" w16cid:durableId="37825042">
    <w:abstractNumId w:val="2"/>
  </w:num>
  <w:num w:numId="10" w16cid:durableId="1785881507">
    <w:abstractNumId w:val="8"/>
  </w:num>
  <w:num w:numId="11" w16cid:durableId="960380454">
    <w:abstractNumId w:val="2"/>
  </w:num>
  <w:num w:numId="12" w16cid:durableId="1978097328">
    <w:abstractNumId w:val="10"/>
  </w:num>
  <w:num w:numId="13" w16cid:durableId="331297988">
    <w:abstractNumId w:val="8"/>
  </w:num>
  <w:num w:numId="14" w16cid:durableId="881282553">
    <w:abstractNumId w:val="2"/>
  </w:num>
  <w:num w:numId="15" w16cid:durableId="13658653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7040521">
    <w:abstractNumId w:val="2"/>
  </w:num>
  <w:num w:numId="17" w16cid:durableId="13946241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26260425">
    <w:abstractNumId w:val="0"/>
  </w:num>
  <w:num w:numId="19" w16cid:durableId="868644589">
    <w:abstractNumId w:val="7"/>
  </w:num>
  <w:num w:numId="20" w16cid:durableId="1890648968">
    <w:abstractNumId w:val="0"/>
  </w:num>
  <w:num w:numId="21" w16cid:durableId="1029179969">
    <w:abstractNumId w:val="8"/>
  </w:num>
  <w:num w:numId="22" w16cid:durableId="1846357331">
    <w:abstractNumId w:val="2"/>
  </w:num>
  <w:num w:numId="23" w16cid:durableId="115871791">
    <w:abstractNumId w:val="0"/>
  </w:num>
  <w:num w:numId="24" w16cid:durableId="914170223">
    <w:abstractNumId w:val="1"/>
  </w:num>
  <w:num w:numId="25" w16cid:durableId="1003120871">
    <w:abstractNumId w:val="11"/>
  </w:num>
  <w:num w:numId="26" w16cid:durableId="1302527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hyphenationZone w:val="425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69C"/>
    <w:rsid w:val="000348D8"/>
    <w:rsid w:val="00035FC3"/>
    <w:rsid w:val="00042AF8"/>
    <w:rsid w:val="0004400E"/>
    <w:rsid w:val="00044C0A"/>
    <w:rsid w:val="0004721A"/>
    <w:rsid w:val="00053EBF"/>
    <w:rsid w:val="0009213F"/>
    <w:rsid w:val="000A0F93"/>
    <w:rsid w:val="000B1F19"/>
    <w:rsid w:val="000B5171"/>
    <w:rsid w:val="000B74CE"/>
    <w:rsid w:val="000C151B"/>
    <w:rsid w:val="000C2465"/>
    <w:rsid w:val="000C504E"/>
    <w:rsid w:val="000D1C00"/>
    <w:rsid w:val="000E017C"/>
    <w:rsid w:val="000F7C30"/>
    <w:rsid w:val="00110E68"/>
    <w:rsid w:val="00120C0D"/>
    <w:rsid w:val="00123A57"/>
    <w:rsid w:val="00144467"/>
    <w:rsid w:val="0016006D"/>
    <w:rsid w:val="0017461B"/>
    <w:rsid w:val="001A1E76"/>
    <w:rsid w:val="001C463F"/>
    <w:rsid w:val="001D349C"/>
    <w:rsid w:val="001D4D23"/>
    <w:rsid w:val="001E2AEB"/>
    <w:rsid w:val="001E4A07"/>
    <w:rsid w:val="001F5780"/>
    <w:rsid w:val="0020081E"/>
    <w:rsid w:val="002066F2"/>
    <w:rsid w:val="00211F69"/>
    <w:rsid w:val="0021217E"/>
    <w:rsid w:val="002223FC"/>
    <w:rsid w:val="00222904"/>
    <w:rsid w:val="00240486"/>
    <w:rsid w:val="00255B6B"/>
    <w:rsid w:val="002946D9"/>
    <w:rsid w:val="002B0028"/>
    <w:rsid w:val="002D2F6D"/>
    <w:rsid w:val="002E255F"/>
    <w:rsid w:val="003040E0"/>
    <w:rsid w:val="00324292"/>
    <w:rsid w:val="00326141"/>
    <w:rsid w:val="00331431"/>
    <w:rsid w:val="00357E10"/>
    <w:rsid w:val="00370EC8"/>
    <w:rsid w:val="00374329"/>
    <w:rsid w:val="0037766B"/>
    <w:rsid w:val="00377F4F"/>
    <w:rsid w:val="003A15E9"/>
    <w:rsid w:val="003A791E"/>
    <w:rsid w:val="003B7C96"/>
    <w:rsid w:val="003C1159"/>
    <w:rsid w:val="003C4B26"/>
    <w:rsid w:val="003D3232"/>
    <w:rsid w:val="003E012D"/>
    <w:rsid w:val="003F0E95"/>
    <w:rsid w:val="003F1497"/>
    <w:rsid w:val="003F1F03"/>
    <w:rsid w:val="003F723B"/>
    <w:rsid w:val="00401D30"/>
    <w:rsid w:val="0041581F"/>
    <w:rsid w:val="00416F2E"/>
    <w:rsid w:val="004340C2"/>
    <w:rsid w:val="00443AAF"/>
    <w:rsid w:val="004504C9"/>
    <w:rsid w:val="004505CF"/>
    <w:rsid w:val="004669B4"/>
    <w:rsid w:val="0046725B"/>
    <w:rsid w:val="00471F5A"/>
    <w:rsid w:val="00475043"/>
    <w:rsid w:val="004848FD"/>
    <w:rsid w:val="004A046F"/>
    <w:rsid w:val="004D3B65"/>
    <w:rsid w:val="00501D0F"/>
    <w:rsid w:val="00506BC0"/>
    <w:rsid w:val="0051540B"/>
    <w:rsid w:val="0053256F"/>
    <w:rsid w:val="005332CC"/>
    <w:rsid w:val="00541AE8"/>
    <w:rsid w:val="00557B4B"/>
    <w:rsid w:val="00562123"/>
    <w:rsid w:val="005664C6"/>
    <w:rsid w:val="005839D9"/>
    <w:rsid w:val="005B6005"/>
    <w:rsid w:val="005C5DE8"/>
    <w:rsid w:val="005F5243"/>
    <w:rsid w:val="00605718"/>
    <w:rsid w:val="00606DEF"/>
    <w:rsid w:val="006205C4"/>
    <w:rsid w:val="00622DB1"/>
    <w:rsid w:val="00645053"/>
    <w:rsid w:val="00645D18"/>
    <w:rsid w:val="00646BFC"/>
    <w:rsid w:val="0065560B"/>
    <w:rsid w:val="00666396"/>
    <w:rsid w:val="00666C02"/>
    <w:rsid w:val="0068381A"/>
    <w:rsid w:val="00686D0C"/>
    <w:rsid w:val="00691777"/>
    <w:rsid w:val="00692393"/>
    <w:rsid w:val="006A74F9"/>
    <w:rsid w:val="006C2DBC"/>
    <w:rsid w:val="006C6DB8"/>
    <w:rsid w:val="006D0FBE"/>
    <w:rsid w:val="006D7D99"/>
    <w:rsid w:val="006F7353"/>
    <w:rsid w:val="006F797D"/>
    <w:rsid w:val="00702CC6"/>
    <w:rsid w:val="0071323C"/>
    <w:rsid w:val="00722347"/>
    <w:rsid w:val="007471D3"/>
    <w:rsid w:val="00747809"/>
    <w:rsid w:val="00762525"/>
    <w:rsid w:val="007647A8"/>
    <w:rsid w:val="007648D8"/>
    <w:rsid w:val="00783393"/>
    <w:rsid w:val="00792DC7"/>
    <w:rsid w:val="00797AB1"/>
    <w:rsid w:val="007B3F1E"/>
    <w:rsid w:val="007C021F"/>
    <w:rsid w:val="007C7A08"/>
    <w:rsid w:val="007D0ABE"/>
    <w:rsid w:val="007D3B4F"/>
    <w:rsid w:val="00804595"/>
    <w:rsid w:val="008145DC"/>
    <w:rsid w:val="00815D1E"/>
    <w:rsid w:val="008172A8"/>
    <w:rsid w:val="0082500C"/>
    <w:rsid w:val="00843AAF"/>
    <w:rsid w:val="008474ED"/>
    <w:rsid w:val="00862B31"/>
    <w:rsid w:val="008669FB"/>
    <w:rsid w:val="00877320"/>
    <w:rsid w:val="0088462D"/>
    <w:rsid w:val="008A3D4D"/>
    <w:rsid w:val="008A7EC6"/>
    <w:rsid w:val="008B44FD"/>
    <w:rsid w:val="008B6A2E"/>
    <w:rsid w:val="008C1897"/>
    <w:rsid w:val="008D3137"/>
    <w:rsid w:val="008D3939"/>
    <w:rsid w:val="008D69AF"/>
    <w:rsid w:val="008F2594"/>
    <w:rsid w:val="009025C6"/>
    <w:rsid w:val="00911F22"/>
    <w:rsid w:val="009161FF"/>
    <w:rsid w:val="0096456F"/>
    <w:rsid w:val="00967DE5"/>
    <w:rsid w:val="00981B09"/>
    <w:rsid w:val="00993114"/>
    <w:rsid w:val="009A7262"/>
    <w:rsid w:val="009B54F4"/>
    <w:rsid w:val="009B551E"/>
    <w:rsid w:val="009C16BF"/>
    <w:rsid w:val="009C1F04"/>
    <w:rsid w:val="009C38CE"/>
    <w:rsid w:val="009D7345"/>
    <w:rsid w:val="009F5C65"/>
    <w:rsid w:val="009F70E6"/>
    <w:rsid w:val="00A15FF4"/>
    <w:rsid w:val="00A1712D"/>
    <w:rsid w:val="00A24869"/>
    <w:rsid w:val="00A45621"/>
    <w:rsid w:val="00A563F4"/>
    <w:rsid w:val="00A56FF8"/>
    <w:rsid w:val="00A62565"/>
    <w:rsid w:val="00A65FB0"/>
    <w:rsid w:val="00A8104C"/>
    <w:rsid w:val="00A852BC"/>
    <w:rsid w:val="00A93E30"/>
    <w:rsid w:val="00A95A7A"/>
    <w:rsid w:val="00AA1BD0"/>
    <w:rsid w:val="00AB5AEE"/>
    <w:rsid w:val="00AC0491"/>
    <w:rsid w:val="00AD4C85"/>
    <w:rsid w:val="00AD7138"/>
    <w:rsid w:val="00AD7B01"/>
    <w:rsid w:val="00AF6744"/>
    <w:rsid w:val="00AF78DE"/>
    <w:rsid w:val="00B05206"/>
    <w:rsid w:val="00B22E26"/>
    <w:rsid w:val="00B30950"/>
    <w:rsid w:val="00B377C4"/>
    <w:rsid w:val="00B448A7"/>
    <w:rsid w:val="00B46F24"/>
    <w:rsid w:val="00B47634"/>
    <w:rsid w:val="00B60928"/>
    <w:rsid w:val="00B622F2"/>
    <w:rsid w:val="00B6621C"/>
    <w:rsid w:val="00B72696"/>
    <w:rsid w:val="00B93109"/>
    <w:rsid w:val="00BA4594"/>
    <w:rsid w:val="00BC74C5"/>
    <w:rsid w:val="00BD2750"/>
    <w:rsid w:val="00BE2474"/>
    <w:rsid w:val="00C05E7E"/>
    <w:rsid w:val="00C16DD7"/>
    <w:rsid w:val="00C43A7A"/>
    <w:rsid w:val="00C53E8A"/>
    <w:rsid w:val="00C564C0"/>
    <w:rsid w:val="00C7559B"/>
    <w:rsid w:val="00C86F84"/>
    <w:rsid w:val="00CC7AAB"/>
    <w:rsid w:val="00CD54D3"/>
    <w:rsid w:val="00CE4114"/>
    <w:rsid w:val="00CE4479"/>
    <w:rsid w:val="00CF1EB7"/>
    <w:rsid w:val="00D15FD7"/>
    <w:rsid w:val="00D2357A"/>
    <w:rsid w:val="00D328A0"/>
    <w:rsid w:val="00D5407A"/>
    <w:rsid w:val="00D81875"/>
    <w:rsid w:val="00DA071E"/>
    <w:rsid w:val="00DA6AE2"/>
    <w:rsid w:val="00DA7729"/>
    <w:rsid w:val="00DB069C"/>
    <w:rsid w:val="00DE07DE"/>
    <w:rsid w:val="00DE228F"/>
    <w:rsid w:val="00DE5796"/>
    <w:rsid w:val="00E03F44"/>
    <w:rsid w:val="00E14912"/>
    <w:rsid w:val="00E17581"/>
    <w:rsid w:val="00E20009"/>
    <w:rsid w:val="00E26A84"/>
    <w:rsid w:val="00E52E54"/>
    <w:rsid w:val="00E53385"/>
    <w:rsid w:val="00E5543F"/>
    <w:rsid w:val="00E81963"/>
    <w:rsid w:val="00E82DCF"/>
    <w:rsid w:val="00E8311E"/>
    <w:rsid w:val="00E95AC7"/>
    <w:rsid w:val="00EA591D"/>
    <w:rsid w:val="00EA6902"/>
    <w:rsid w:val="00EA77C5"/>
    <w:rsid w:val="00EC23EC"/>
    <w:rsid w:val="00ED0DEA"/>
    <w:rsid w:val="00EE3F08"/>
    <w:rsid w:val="00EE69F4"/>
    <w:rsid w:val="00F05B9C"/>
    <w:rsid w:val="00F1193E"/>
    <w:rsid w:val="00F1450C"/>
    <w:rsid w:val="00F42807"/>
    <w:rsid w:val="00F54E21"/>
    <w:rsid w:val="00F57FA0"/>
    <w:rsid w:val="00F654F2"/>
    <w:rsid w:val="00F8065D"/>
    <w:rsid w:val="00F82387"/>
    <w:rsid w:val="00F879E4"/>
    <w:rsid w:val="00F91974"/>
    <w:rsid w:val="00FC3455"/>
    <w:rsid w:val="00FC39AC"/>
    <w:rsid w:val="00FC7435"/>
    <w:rsid w:val="00FD698E"/>
    <w:rsid w:val="00FF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68040AF"/>
  <w15:chartTrackingRefBased/>
  <w15:docId w15:val="{A233B404-286B-4D42-87AD-3D51DA2B0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69C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EA6902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EA6902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EA6902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EA6902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EA6902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EA6902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EA6902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EA6902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paragraph" w:styleId="Footer">
    <w:name w:val="footer"/>
    <w:basedOn w:val="Normal"/>
    <w:link w:val="FooterChar"/>
    <w:uiPriority w:val="99"/>
    <w:rsid w:val="00EA6902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EA6902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EA69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EA6902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EA6902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EA6902"/>
    <w:pPr>
      <w:ind w:firstLine="0"/>
    </w:pPr>
  </w:style>
  <w:style w:type="paragraph" w:customStyle="1" w:styleId="MDPI31text">
    <w:name w:val="MDPI_3.1_text"/>
    <w:qFormat/>
    <w:rsid w:val="00E53385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EA6902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EA6902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EA6902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EA6902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5332CC"/>
    <w:pPr>
      <w:numPr>
        <w:numId w:val="25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5332CC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EA6902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EA6902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EA6902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B72696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EA690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link w:val="MDPI51figurecaptionZchn"/>
    <w:qFormat/>
    <w:rsid w:val="00EA6902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EA6902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EA690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EA690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firstpage">
    <w:name w:val="MDPI_footer_firstpage"/>
    <w:qFormat/>
    <w:rsid w:val="00EA6902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23heading3">
    <w:name w:val="MDPI_2.3_heading3"/>
    <w:qFormat/>
    <w:rsid w:val="00EA6902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EA6902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EA6902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51540B"/>
    <w:pPr>
      <w:numPr>
        <w:numId w:val="26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EA6902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EA6902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9B551E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EA6902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EA6902"/>
    <w:rPr>
      <w:color w:val="0000FF"/>
      <w:u w:val="single"/>
    </w:rPr>
  </w:style>
  <w:style w:type="character" w:customStyle="1" w:styleId="NichtaufgelsteErwhnung1">
    <w:name w:val="Nicht aufgelöste Erwähnung1"/>
    <w:uiPriority w:val="99"/>
    <w:semiHidden/>
    <w:unhideWhenUsed/>
    <w:rsid w:val="00A65FB0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EA6902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506BC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EA6902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EA6902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EA6902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sz w:val="18"/>
      <w:lang w:eastAsia="en-US" w:bidi="en-US"/>
    </w:rPr>
  </w:style>
  <w:style w:type="paragraph" w:customStyle="1" w:styleId="MDPI15academiceditor">
    <w:name w:val="MDPI_1.5_academic_editor"/>
    <w:qFormat/>
    <w:rsid w:val="00C86F84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EA6902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EA6902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EA6902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D5407A"/>
    <w:pPr>
      <w:adjustRightInd w:val="0"/>
      <w:snapToGrid w:val="0"/>
      <w:spacing w:before="60" w:line="240" w:lineRule="atLeast"/>
      <w:ind w:right="113"/>
      <w:jc w:val="both"/>
    </w:pPr>
    <w:rPr>
      <w:rFonts w:ascii="Palatino Linotype" w:eastAsia="Times New Roman" w:hAnsi="Palatino Linotype"/>
      <w:noProof/>
      <w:snapToGrid w:val="0"/>
      <w:color w:val="000000"/>
      <w:sz w:val="14"/>
      <w:lang w:val="en-GB" w:eastAsia="en-GB"/>
    </w:rPr>
  </w:style>
  <w:style w:type="paragraph" w:customStyle="1" w:styleId="MDPI73CopyrightImage">
    <w:name w:val="MDPI_7.3_CopyrightImage"/>
    <w:rsid w:val="00EA6902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EA6902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EA6902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EA690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EA6902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EA6902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EA6902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EA6902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EA690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EA6902"/>
  </w:style>
  <w:style w:type="paragraph" w:styleId="Bibliography">
    <w:name w:val="Bibliography"/>
    <w:basedOn w:val="Normal"/>
    <w:next w:val="Normal"/>
    <w:uiPriority w:val="37"/>
    <w:semiHidden/>
    <w:unhideWhenUsed/>
    <w:rsid w:val="00EA6902"/>
  </w:style>
  <w:style w:type="paragraph" w:styleId="BodyText">
    <w:name w:val="Body Text"/>
    <w:link w:val="BodyTextChar"/>
    <w:rsid w:val="00EA6902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EA6902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EA6902"/>
    <w:rPr>
      <w:sz w:val="21"/>
      <w:szCs w:val="21"/>
    </w:rPr>
  </w:style>
  <w:style w:type="paragraph" w:styleId="CommentText">
    <w:name w:val="annotation text"/>
    <w:basedOn w:val="Normal"/>
    <w:link w:val="CommentTextChar"/>
    <w:rsid w:val="00EA6902"/>
  </w:style>
  <w:style w:type="character" w:customStyle="1" w:styleId="CommentTextChar">
    <w:name w:val="Comment Text Char"/>
    <w:link w:val="CommentText"/>
    <w:rsid w:val="00EA6902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EA6902"/>
    <w:rPr>
      <w:b/>
      <w:bCs/>
    </w:rPr>
  </w:style>
  <w:style w:type="character" w:customStyle="1" w:styleId="CommentSubjectChar">
    <w:name w:val="Comment Subject Char"/>
    <w:link w:val="CommentSubject"/>
    <w:rsid w:val="00EA6902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EA6902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EA6902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EA6902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EA6902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EA6902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EA6902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EA6902"/>
    <w:rPr>
      <w:szCs w:val="24"/>
    </w:rPr>
  </w:style>
  <w:style w:type="paragraph" w:customStyle="1" w:styleId="MsoFootnoteText0">
    <w:name w:val="MsoFootnoteText"/>
    <w:basedOn w:val="NormalWeb"/>
    <w:qFormat/>
    <w:rsid w:val="00EA6902"/>
    <w:rPr>
      <w:rFonts w:ascii="Times New Roman" w:hAnsi="Times New Roman"/>
    </w:rPr>
  </w:style>
  <w:style w:type="character" w:styleId="PageNumber">
    <w:name w:val="page number"/>
    <w:rsid w:val="00EA6902"/>
  </w:style>
  <w:style w:type="character" w:styleId="PlaceholderText">
    <w:name w:val="Placeholder Text"/>
    <w:uiPriority w:val="99"/>
    <w:semiHidden/>
    <w:rsid w:val="00EA6902"/>
    <w:rPr>
      <w:color w:val="808080"/>
    </w:rPr>
  </w:style>
  <w:style w:type="paragraph" w:customStyle="1" w:styleId="MDPI71FootNotes">
    <w:name w:val="MDPI_7.1_FootNotes"/>
    <w:qFormat/>
    <w:rsid w:val="00211F69"/>
    <w:pPr>
      <w:numPr>
        <w:numId w:val="24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  <w:style w:type="character" w:customStyle="1" w:styleId="MDPI51figurecaptionZchn">
    <w:name w:val="MDPI_5.1_figure_caption Zchn"/>
    <w:basedOn w:val="DefaultParagraphFont"/>
    <w:link w:val="MDPI51figurecaption"/>
    <w:rsid w:val="00DB069C"/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Revision">
    <w:name w:val="Revision"/>
    <w:hidden/>
    <w:uiPriority w:val="99"/>
    <w:semiHidden/>
    <w:rsid w:val="008D3939"/>
    <w:rPr>
      <w:rFonts w:ascii="Palatino Linotype" w:hAnsi="Palatino Linotype"/>
      <w:noProof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6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PowerPoint_Presentation.pptx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package" Target="embeddings/Microsoft_PowerPoint_Presentation1.pptx"/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003459\Downloads\ijm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ijms-template.dot</Template>
  <TotalTime>0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Hinz, Burkhard</dc:creator>
  <cp:keywords/>
  <dc:description/>
  <cp:lastModifiedBy>Irina Stanimirovic</cp:lastModifiedBy>
  <cp:revision>10</cp:revision>
  <cp:lastPrinted>2023-10-20T05:20:00Z</cp:lastPrinted>
  <dcterms:created xsi:type="dcterms:W3CDTF">2023-10-31T11:20:00Z</dcterms:created>
  <dcterms:modified xsi:type="dcterms:W3CDTF">2023-11-07T08:39:00Z</dcterms:modified>
</cp:coreProperties>
</file>