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143A" w:rsidRDefault="00DF143A"/>
    <w:p w:rsidR="00DF143A" w:rsidRDefault="00DF143A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486400" cy="166878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1_画板 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6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43A" w:rsidRPr="00E0303D" w:rsidRDefault="00DF143A" w:rsidP="00E0303D">
      <w:pPr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</w:pPr>
      <w:r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>Figure S</w:t>
      </w:r>
      <w:r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>1</w:t>
      </w:r>
      <w:r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 xml:space="preserve">. </w:t>
      </w:r>
      <w:r w:rsidR="00F023BF"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>P</w:t>
      </w:r>
      <w:r w:rsidR="00F023BF"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 xml:space="preserve">henotype of </w:t>
      </w:r>
      <w:r w:rsidR="00F023BF"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 xml:space="preserve">IBR </w:t>
      </w:r>
      <w:r w:rsidR="00F023BF" w:rsidRPr="00E0303D">
        <w:rPr>
          <w:rFonts w:ascii="Palatino Linotype" w:hAnsi="Palatino Linotype" w:cs="Times New Roman" w:hint="eastAsia"/>
          <w:b/>
          <w:bCs/>
          <w:color w:val="000000" w:themeColor="text1"/>
          <w:sz w:val="18"/>
          <w:szCs w:val="18"/>
        </w:rPr>
        <w:t>and</w:t>
      </w:r>
      <w:r w:rsidR="00F023BF"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 xml:space="preserve"> ABR </w:t>
      </w:r>
      <w:r w:rsidR="00F023BF"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>induced V</w:t>
      </w:r>
      <w:r w:rsidR="00A9212B"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>A</w:t>
      </w:r>
      <w:r w:rsidRPr="00E0303D">
        <w:rPr>
          <w:rFonts w:ascii="Palatino Linotype" w:hAnsi="Palatino Linotype" w:cstheme="majorBidi"/>
          <w:b/>
          <w:bCs/>
          <w:color w:val="000000" w:themeColor="text1"/>
          <w:sz w:val="18"/>
          <w:szCs w:val="18"/>
        </w:rPr>
        <w:t>.</w:t>
      </w:r>
      <w:r w:rsidRPr="00E0303D">
        <w:rPr>
          <w:rFonts w:ascii="Palatino Linotype" w:hAnsi="Palatino Linotype" w:cs="Times New Roman" w:hint="eastAsia"/>
          <w:b/>
          <w:bCs/>
          <w:color w:val="000000" w:themeColor="text1"/>
          <w:sz w:val="18"/>
          <w:szCs w:val="18"/>
        </w:rPr>
        <w:t xml:space="preserve"> </w:t>
      </w:r>
      <w:r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(A) 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Percentage of polymorphic 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ventricular tachycardia 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(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VT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)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/VF and monomorphic VT in IBR and ABR groups. The </w:t>
      </w:r>
      <w:r w:rsidR="00BA071E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total 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times </w:t>
      </w:r>
      <w:r w:rsidR="00BA071E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of each group 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with polymorphic VT/VF and </w:t>
      </w:r>
      <w:r w:rsidR="00B57AAC">
        <w:rPr>
          <w:rFonts w:ascii="Palatino Linotype" w:hAnsi="Palatino Linotype" w:cstheme="majorBidi" w:hint="eastAsia"/>
          <w:color w:val="000000" w:themeColor="text1"/>
          <w:sz w:val="18"/>
          <w:szCs w:val="18"/>
        </w:rPr>
        <w:t>th</w:t>
      </w:r>
      <w:r w:rsidR="00B57AAC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e </w:t>
      </w:r>
      <w:bookmarkStart w:id="0" w:name="_GoBack"/>
      <w:bookmarkEnd w:id="0"/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total number of 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ventricular arrhythmia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(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VA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)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induction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are presented within the associated bars.</w:t>
      </w:r>
      <w:r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(B)</w:t>
      </w:r>
      <w:r w:rsidR="00435AF2" w:rsidRPr="00E0303D">
        <w:rPr>
          <w:sz w:val="18"/>
          <w:szCs w:val="18"/>
        </w:rPr>
        <w:t xml:space="preserve"> 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Typical examples of pseudo-electrogram</w:t>
      </w:r>
      <w:r w:rsidR="006F60D9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(</w:t>
      </w:r>
      <w:r w:rsidR="006F60D9" w:rsidRPr="00E0303D">
        <w:rPr>
          <w:rFonts w:ascii="Palatino Linotype" w:hAnsi="Palatino Linotype" w:cstheme="majorBidi" w:hint="eastAsia"/>
          <w:color w:val="000000" w:themeColor="text1"/>
          <w:sz w:val="18"/>
          <w:szCs w:val="18"/>
        </w:rPr>
        <w:t>p-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ECG</w:t>
      </w:r>
      <w:r w:rsidR="006F60D9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)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,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corresponding action potential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(</w:t>
      </w:r>
      <w:r w:rsidR="00294498" w:rsidRPr="00E0303D">
        <w:rPr>
          <w:rFonts w:ascii="Palatino Linotype" w:hAnsi="Palatino Linotype" w:cstheme="majorBidi" w:hint="eastAsia"/>
          <w:color w:val="000000" w:themeColor="text1"/>
          <w:sz w:val="18"/>
          <w:szCs w:val="18"/>
        </w:rPr>
        <w:t>A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P)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, and calcium 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tr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ansient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(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CaT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)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recording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during </w:t>
      </w:r>
      <w:r w:rsidR="00E0303D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VT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in 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Ibrutinib</w:t>
      </w:r>
      <w:r w:rsidR="00C402D0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(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IBR</w:t>
      </w:r>
      <w:r w:rsidR="00C402D0">
        <w:rPr>
          <w:rFonts w:ascii="Palatino Linotype" w:hAnsi="Palatino Linotype" w:cstheme="majorBidi"/>
          <w:color w:val="000000" w:themeColor="text1"/>
          <w:sz w:val="18"/>
          <w:szCs w:val="18"/>
        </w:rPr>
        <w:t>;</w:t>
      </w:r>
      <w:r w:rsidR="00B57AAC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Left) and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Acalabrutinib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</w:t>
      </w:r>
      <w:r w:rsidR="00C402D0">
        <w:rPr>
          <w:rFonts w:ascii="Palatino Linotype" w:hAnsi="Palatino Linotype" w:cstheme="majorBidi"/>
          <w:color w:val="000000" w:themeColor="text1"/>
          <w:sz w:val="18"/>
          <w:szCs w:val="18"/>
        </w:rPr>
        <w:t>(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ABR</w:t>
      </w:r>
      <w:r w:rsidR="00C402D0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; </w:t>
      </w:r>
      <w:r w:rsidR="00435AF2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Right) heart. 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Representative the optical signal acquisition areas of the right ventricle(a) and left ventricle (b) respectively.</w:t>
      </w:r>
      <w:r w:rsidR="00294498"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 </w:t>
      </w:r>
      <w:r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(</w:t>
      </w:r>
      <w:r w:rsidRPr="00E0303D">
        <w:rPr>
          <w:rFonts w:ascii="Palatino Linotype" w:hAnsi="Palatino Linotype" w:cs="Times New Roman"/>
          <w:color w:val="000000" w:themeColor="text1"/>
          <w:sz w:val="18"/>
          <w:szCs w:val="18"/>
        </w:rPr>
        <w:t>p</w:t>
      </w:r>
      <w:r w:rsidRPr="00E0303D">
        <w:rPr>
          <w:rFonts w:ascii="Palatino Linotype" w:hAnsi="Palatino Linotype" w:cs="Times New Roman"/>
          <w:i/>
          <w:iCs/>
          <w:color w:val="000000" w:themeColor="text1"/>
          <w:sz w:val="18"/>
          <w:szCs w:val="18"/>
        </w:rPr>
        <w:t xml:space="preserve"> value</w:t>
      </w:r>
      <w:r w:rsidRPr="00E0303D">
        <w:rPr>
          <w:rFonts w:ascii="Palatino Linotype" w:hAnsi="Palatino Linotype" w:cs="Times New Roman"/>
          <w:color w:val="000000" w:themeColor="text1"/>
          <w:sz w:val="18"/>
          <w:szCs w:val="18"/>
        </w:rPr>
        <w:t xml:space="preserve">: </w:t>
      </w:r>
      <w:r w:rsidR="001617C4" w:rsidRPr="001617C4">
        <w:rPr>
          <w:rFonts w:ascii="Palatino Linotype" w:hAnsi="Palatino Linotype" w:cs="Times New Roman"/>
          <w:color w:val="000000" w:themeColor="text1"/>
          <w:sz w:val="18"/>
          <w:szCs w:val="18"/>
        </w:rPr>
        <w:t>x</w:t>
      </w:r>
      <w:r w:rsidR="001617C4" w:rsidRPr="001617C4">
        <w:rPr>
          <w:rFonts w:ascii="Palatino Linotype" w:hAnsi="Palatino Linotype" w:cs="Times New Roman"/>
          <w:color w:val="000000" w:themeColor="text1"/>
          <w:sz w:val="18"/>
          <w:szCs w:val="18"/>
          <w:vertAlign w:val="superscript"/>
        </w:rPr>
        <w:t>2</w:t>
      </w:r>
      <w:r w:rsidR="001617C4" w:rsidRPr="001617C4">
        <w:rPr>
          <w:rFonts w:ascii="Palatino Linotype" w:hAnsi="Palatino Linotype" w:cs="Times New Roman"/>
          <w:color w:val="000000" w:themeColor="text1"/>
          <w:sz w:val="18"/>
          <w:szCs w:val="18"/>
        </w:rPr>
        <w:t xml:space="preserve"> test</w:t>
      </w:r>
      <w:r w:rsidRPr="00E0303D">
        <w:rPr>
          <w:rFonts w:ascii="Palatino Linotype" w:hAnsi="Palatino Linotype" w:cs="Times New Roman"/>
          <w:color w:val="000000" w:themeColor="text1"/>
          <w:sz w:val="18"/>
          <w:szCs w:val="18"/>
        </w:rPr>
        <w:t>)</w:t>
      </w:r>
      <w:r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. </w:t>
      </w:r>
    </w:p>
    <w:p w:rsidR="00DF143A" w:rsidRDefault="00DF143A">
      <w:pPr>
        <w:widowControl/>
        <w:jc w:val="left"/>
      </w:pPr>
    </w:p>
    <w:p w:rsidR="00DC7C54" w:rsidRDefault="0007412E">
      <w:r>
        <w:rPr>
          <w:noProof/>
        </w:rPr>
        <w:lastRenderedPageBreak/>
        <w:drawing>
          <wp:inline distT="0" distB="0" distL="0" distR="0">
            <wp:extent cx="5486400" cy="648208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Figure_画板 1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648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12E" w:rsidRPr="00E0303D" w:rsidRDefault="0007412E" w:rsidP="00E0303D">
      <w:pPr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</w:pPr>
      <w:r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>Figure S</w:t>
      </w:r>
      <w:r w:rsidR="00DF143A"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>2</w:t>
      </w:r>
      <w:r w:rsidRPr="00E0303D">
        <w:rPr>
          <w:rFonts w:ascii="Palatino Linotype" w:hAnsi="Palatino Linotype" w:cs="Times New Roman"/>
          <w:b/>
          <w:bCs/>
          <w:color w:val="000000" w:themeColor="text1"/>
          <w:sz w:val="18"/>
          <w:szCs w:val="18"/>
        </w:rPr>
        <w:t xml:space="preserve">. Effect of ABR on </w:t>
      </w:r>
      <w:r w:rsidRPr="00E0303D">
        <w:rPr>
          <w:rFonts w:ascii="Palatino Linotype" w:hAnsi="Palatino Linotype" w:cstheme="majorBidi"/>
          <w:b/>
          <w:bCs/>
          <w:color w:val="000000" w:themeColor="text1"/>
          <w:sz w:val="18"/>
          <w:szCs w:val="18"/>
        </w:rPr>
        <w:t>CSK and PI3K/Akt pathway.</w:t>
      </w:r>
      <w:r w:rsidRPr="00E0303D">
        <w:rPr>
          <w:rFonts w:ascii="Palatino Linotype" w:hAnsi="Palatino Linotype" w:cs="Times New Roman" w:hint="eastAsia"/>
          <w:b/>
          <w:bCs/>
          <w:color w:val="000000" w:themeColor="text1"/>
          <w:sz w:val="18"/>
          <w:szCs w:val="18"/>
        </w:rPr>
        <w:t xml:space="preserve"> </w:t>
      </w:r>
      <w:r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(A) Representative gel blots and normalized the expression of C-terminal Src kinase (CSK). (B)Representative gel blots and normalized the expression of phosphoinositol-3 kinase (PI3K), phosphorylation of Akt. (n=10 in each group</w:t>
      </w:r>
      <w:r w:rsidRPr="00E0303D">
        <w:rPr>
          <w:rFonts w:ascii="Palatino Linotype" w:hAnsi="Palatino Linotype" w:cs="Times New Roman"/>
          <w:color w:val="000000" w:themeColor="text1"/>
          <w:sz w:val="18"/>
          <w:szCs w:val="18"/>
        </w:rPr>
        <w:t>; p</w:t>
      </w:r>
      <w:r w:rsidRPr="00E0303D">
        <w:rPr>
          <w:rFonts w:ascii="Palatino Linotype" w:hAnsi="Palatino Linotype" w:cs="Times New Roman"/>
          <w:i/>
          <w:iCs/>
          <w:color w:val="000000" w:themeColor="text1"/>
          <w:sz w:val="18"/>
          <w:szCs w:val="18"/>
        </w:rPr>
        <w:t xml:space="preserve"> value</w:t>
      </w:r>
      <w:r w:rsidRPr="00E0303D">
        <w:rPr>
          <w:rFonts w:ascii="Palatino Linotype" w:hAnsi="Palatino Linotype" w:cs="Times New Roman"/>
          <w:color w:val="000000" w:themeColor="text1"/>
          <w:sz w:val="18"/>
          <w:szCs w:val="18"/>
        </w:rPr>
        <w:t>: t- test)</w:t>
      </w:r>
      <w:r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. </w:t>
      </w:r>
      <w:r w:rsidRPr="00E0303D">
        <w:rPr>
          <w:rFonts w:ascii="Palatino Linotype" w:hAnsi="Palatino Linotype" w:cs="Times New Roman"/>
          <w:color w:val="000000" w:themeColor="text1"/>
          <w:sz w:val="18"/>
          <w:szCs w:val="18"/>
        </w:rPr>
        <w:t>ABR- Acalabrutinib</w:t>
      </w:r>
      <w:r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 xml:space="preserve">; </w:t>
      </w:r>
      <w:r w:rsidRPr="00E0303D">
        <w:rPr>
          <w:rFonts w:ascii="Palatino Linotype" w:hAnsi="Palatino Linotype" w:cs="Times New Roman"/>
          <w:color w:val="000000" w:themeColor="text1"/>
          <w:sz w:val="18"/>
          <w:szCs w:val="18"/>
        </w:rPr>
        <w:t xml:space="preserve">Ctrl-control; </w:t>
      </w:r>
      <w:r w:rsidRPr="00E0303D">
        <w:rPr>
          <w:rFonts w:ascii="Palatino Linotype" w:hAnsi="Palatino Linotype" w:cstheme="majorBidi"/>
          <w:color w:val="000000" w:themeColor="text1"/>
          <w:sz w:val="18"/>
          <w:szCs w:val="18"/>
        </w:rPr>
        <w:t>GAPDH- glyceraldehyde 3-phosphate dehydrogenase</w:t>
      </w:r>
      <w:r w:rsidRPr="00E0303D">
        <w:rPr>
          <w:rFonts w:ascii="Palatino Linotype" w:hAnsi="Palatino Linotype" w:cs="Times New Roman"/>
          <w:color w:val="000000" w:themeColor="text1"/>
          <w:sz w:val="18"/>
          <w:szCs w:val="18"/>
        </w:rPr>
        <w:t>.</w:t>
      </w:r>
    </w:p>
    <w:p w:rsidR="0007412E" w:rsidRPr="00E0303D" w:rsidRDefault="0007412E" w:rsidP="00E0303D">
      <w:pPr>
        <w:rPr>
          <w:sz w:val="18"/>
          <w:szCs w:val="18"/>
        </w:rPr>
      </w:pPr>
    </w:p>
    <w:sectPr w:rsidR="0007412E" w:rsidRPr="00E0303D" w:rsidSect="00D3679A">
      <w:pgSz w:w="12240" w:h="15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altName w:val="Times"/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6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412E"/>
    <w:rsid w:val="000501A1"/>
    <w:rsid w:val="0007412E"/>
    <w:rsid w:val="001617C4"/>
    <w:rsid w:val="00294498"/>
    <w:rsid w:val="003A32F1"/>
    <w:rsid w:val="00435AF2"/>
    <w:rsid w:val="006378AE"/>
    <w:rsid w:val="00687FDF"/>
    <w:rsid w:val="006F60D9"/>
    <w:rsid w:val="00A9212B"/>
    <w:rsid w:val="00B27A11"/>
    <w:rsid w:val="00B335C3"/>
    <w:rsid w:val="00B57AAC"/>
    <w:rsid w:val="00B61F85"/>
    <w:rsid w:val="00BA071E"/>
    <w:rsid w:val="00C402D0"/>
    <w:rsid w:val="00D3679A"/>
    <w:rsid w:val="00DC7C54"/>
    <w:rsid w:val="00DF143A"/>
    <w:rsid w:val="00E0303D"/>
    <w:rsid w:val="00F023BF"/>
    <w:rsid w:val="00F551EA"/>
    <w:rsid w:val="00F63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BC3657"/>
  <w15:chartTrackingRefBased/>
  <w15:docId w15:val="{AE5E2F52-B1D9-0E40-B25C-2564F20C8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212B"/>
    <w:rPr>
      <w:rFonts w:ascii="宋体" w:eastAsia="宋体"/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A9212B"/>
    <w:rPr>
      <w:rFonts w:ascii="宋体"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154</Words>
  <Characters>881</Characters>
  <Application>Microsoft Office Word</Application>
  <DocSecurity>0</DocSecurity>
  <Lines>7</Lines>
  <Paragraphs>2</Paragraphs>
  <ScaleCrop>false</ScaleCrop>
  <Company/>
  <LinksUpToDate>false</LinksUpToDate>
  <CharactersWithSpaces>1033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Yanan</dc:creator>
  <cp:keywords/>
  <dc:description/>
  <cp:lastModifiedBy>Yanan</cp:lastModifiedBy>
  <cp:revision>9</cp:revision>
  <dcterms:created xsi:type="dcterms:W3CDTF">2024-04-15T19:57:00Z</dcterms:created>
  <dcterms:modified xsi:type="dcterms:W3CDTF">2024-05-18T17:14:00Z</dcterms:modified>
</cp:coreProperties>
</file>