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23FB21" w14:textId="5E569FB3" w:rsidR="00F52479" w:rsidRPr="00DC5AED" w:rsidRDefault="0019030C" w:rsidP="0019030C">
      <w:pPr>
        <w:pStyle w:val="a3"/>
        <w:rPr>
          <w:lang w:val="en-US"/>
        </w:rPr>
      </w:pPr>
      <w:r w:rsidRPr="00DC5AED">
        <w:rPr>
          <w:rStyle w:val="ae"/>
          <w:lang w:val="en-US"/>
        </w:rPr>
        <w:t>Supplementary</w:t>
      </w:r>
      <w:r w:rsidRPr="00DC5AED">
        <w:rPr>
          <w:lang w:val="en-US"/>
        </w:rPr>
        <w:t xml:space="preserve"> </w:t>
      </w:r>
      <w:r w:rsidRPr="00DC5AED">
        <w:rPr>
          <w:rStyle w:val="ae"/>
          <w:lang w:val="en-US"/>
        </w:rPr>
        <w:t>Materials</w:t>
      </w:r>
    </w:p>
    <w:p w14:paraId="6CE44610" w14:textId="77777777" w:rsidR="00976A7E" w:rsidRPr="00DC5AED" w:rsidRDefault="00976A7E" w:rsidP="0019030C">
      <w:pPr>
        <w:pStyle w:val="a3"/>
        <w:rPr>
          <w:lang w:val="en-US"/>
        </w:rPr>
      </w:pPr>
    </w:p>
    <w:p w14:paraId="614115D5" w14:textId="20E7ABC7" w:rsidR="0019030C" w:rsidRPr="00DC5AED" w:rsidRDefault="0019030C" w:rsidP="0019030C">
      <w:pPr>
        <w:pStyle w:val="a3"/>
        <w:rPr>
          <w:lang w:val="en-US"/>
        </w:rPr>
      </w:pPr>
      <w:proofErr w:type="spellStart"/>
      <w:r w:rsidRPr="00DC5AED">
        <w:rPr>
          <w:lang w:val="en-US"/>
        </w:rPr>
        <w:t>Regaud’s</w:t>
      </w:r>
      <w:proofErr w:type="spellEnd"/>
      <w:r w:rsidRPr="00DC5AED">
        <w:rPr>
          <w:lang w:val="en-US"/>
        </w:rPr>
        <w:t xml:space="preserve"> iron hematoxylin staining for early myocardial damage</w:t>
      </w:r>
    </w:p>
    <w:p w14:paraId="18EF88FD" w14:textId="77777777" w:rsidR="0019030C" w:rsidRPr="0019030C" w:rsidRDefault="0019030C" w:rsidP="0019030C">
      <w:pPr>
        <w:rPr>
          <w:lang w:val="en-US"/>
        </w:rPr>
      </w:pPr>
    </w:p>
    <w:p w14:paraId="63AB141C" w14:textId="2F5C63F1" w:rsidR="0019030C" w:rsidRPr="0019030C" w:rsidRDefault="0019030C" w:rsidP="0019030C">
      <w:pPr>
        <w:rPr>
          <w:lang w:val="en-US"/>
        </w:rPr>
      </w:pPr>
      <w:r w:rsidRPr="0019030C">
        <w:rPr>
          <w:lang w:val="en-US"/>
        </w:rPr>
        <w:t>“</w:t>
      </w:r>
      <w:proofErr w:type="spellStart"/>
      <w:r w:rsidRPr="0019030C">
        <w:rPr>
          <w:lang w:val="en-US"/>
        </w:rPr>
        <w:t>MedX</w:t>
      </w:r>
      <w:proofErr w:type="spellEnd"/>
      <w:r w:rsidRPr="0019030C">
        <w:rPr>
          <w:lang w:val="en-US"/>
        </w:rPr>
        <w:t xml:space="preserve">” </w:t>
      </w:r>
      <w:r w:rsidRPr="00DC5AED">
        <w:rPr>
          <w:lang w:val="en-US"/>
        </w:rPr>
        <w:t xml:space="preserve">(Moscow, Russia) </w:t>
      </w:r>
      <w:proofErr w:type="spellStart"/>
      <w:r w:rsidRPr="0019030C">
        <w:rPr>
          <w:lang w:val="en-US"/>
        </w:rPr>
        <w:t>Regaud’s</w:t>
      </w:r>
      <w:proofErr w:type="spellEnd"/>
      <w:r w:rsidRPr="0019030C">
        <w:rPr>
          <w:lang w:val="en-US"/>
        </w:rPr>
        <w:t xml:space="preserve"> iron hematoxylin staining kit is used in the study.</w:t>
      </w:r>
    </w:p>
    <w:p w14:paraId="352F58C7" w14:textId="77777777" w:rsidR="0019030C" w:rsidRPr="0019030C" w:rsidRDefault="0019030C" w:rsidP="0019030C">
      <w:pPr>
        <w:rPr>
          <w:lang w:val="en-US"/>
        </w:rPr>
      </w:pPr>
      <w:r w:rsidRPr="0019030C">
        <w:rPr>
          <w:lang w:val="en-US"/>
        </w:rPr>
        <w:t>Its composition is as follows:</w:t>
      </w:r>
    </w:p>
    <w:p w14:paraId="746DA5A1" w14:textId="0DD7A53A" w:rsidR="0019030C" w:rsidRPr="00DC5AED" w:rsidRDefault="0019030C" w:rsidP="0019030C">
      <w:pPr>
        <w:pStyle w:val="a7"/>
        <w:numPr>
          <w:ilvl w:val="0"/>
          <w:numId w:val="4"/>
        </w:numPr>
        <w:rPr>
          <w:lang w:val="en-US"/>
        </w:rPr>
      </w:pPr>
      <w:proofErr w:type="spellStart"/>
      <w:r w:rsidRPr="00DC5AED">
        <w:rPr>
          <w:lang w:val="en-US"/>
        </w:rPr>
        <w:t>Regaud’s</w:t>
      </w:r>
      <w:proofErr w:type="spellEnd"/>
      <w:r w:rsidRPr="00DC5AED">
        <w:rPr>
          <w:lang w:val="en-US"/>
        </w:rPr>
        <w:t xml:space="preserve"> “</w:t>
      </w:r>
      <w:proofErr w:type="spellStart"/>
      <w:r w:rsidRPr="00DC5AED">
        <w:rPr>
          <w:lang w:val="en-US"/>
        </w:rPr>
        <w:t>MedX</w:t>
      </w:r>
      <w:proofErr w:type="spellEnd"/>
      <w:r w:rsidRPr="00DC5AED">
        <w:rPr>
          <w:lang w:val="en-US"/>
        </w:rPr>
        <w:t>” mordant - homogenous transparent yellow-brown odorless solution. Is used as Weigert’s hematoxylin A oxidant. Not to be used without Weigert’s hematoxylin A.</w:t>
      </w:r>
    </w:p>
    <w:p w14:paraId="2D77FB70" w14:textId="7B0881AD" w:rsidR="0019030C" w:rsidRPr="00DC5AED" w:rsidRDefault="0019030C" w:rsidP="0019030C">
      <w:pPr>
        <w:pStyle w:val="a7"/>
        <w:numPr>
          <w:ilvl w:val="0"/>
          <w:numId w:val="4"/>
        </w:numPr>
        <w:rPr>
          <w:lang w:val="en-US"/>
        </w:rPr>
      </w:pPr>
      <w:r w:rsidRPr="00DC5AED">
        <w:rPr>
          <w:lang w:val="en-US"/>
        </w:rPr>
        <w:t>“</w:t>
      </w:r>
      <w:proofErr w:type="spellStart"/>
      <w:r w:rsidRPr="00DC5AED">
        <w:rPr>
          <w:lang w:val="en-US"/>
        </w:rPr>
        <w:t>MedX</w:t>
      </w:r>
      <w:proofErr w:type="spellEnd"/>
      <w:r w:rsidRPr="00DC5AED">
        <w:rPr>
          <w:lang w:val="en-US"/>
        </w:rPr>
        <w:t>” Weigert’s hematoxylin A - homogenous opaque brown solution with isopropanol smell. Used as a primary dye to stain nuclei and other cellular structures.</w:t>
      </w:r>
    </w:p>
    <w:p w14:paraId="668E040F" w14:textId="273DB8AD" w:rsidR="0019030C" w:rsidRPr="00DC5AED" w:rsidRDefault="0019030C" w:rsidP="0019030C">
      <w:pPr>
        <w:pStyle w:val="a7"/>
        <w:numPr>
          <w:ilvl w:val="0"/>
          <w:numId w:val="4"/>
        </w:numPr>
        <w:rPr>
          <w:lang w:val="en-US"/>
        </w:rPr>
      </w:pPr>
      <w:r w:rsidRPr="00DC5AED">
        <w:rPr>
          <w:lang w:val="en-US"/>
        </w:rPr>
        <w:t>“</w:t>
      </w:r>
      <w:proofErr w:type="spellStart"/>
      <w:r w:rsidRPr="00DC5AED">
        <w:rPr>
          <w:lang w:val="en-US"/>
        </w:rPr>
        <w:t>MedX</w:t>
      </w:r>
      <w:proofErr w:type="spellEnd"/>
      <w:r w:rsidRPr="00DC5AED">
        <w:rPr>
          <w:lang w:val="en-US"/>
        </w:rPr>
        <w:t xml:space="preserve">” </w:t>
      </w:r>
      <w:proofErr w:type="spellStart"/>
      <w:r w:rsidRPr="00DC5AED">
        <w:rPr>
          <w:lang w:val="en-US"/>
        </w:rPr>
        <w:t>Regaud’s</w:t>
      </w:r>
      <w:proofErr w:type="spellEnd"/>
      <w:r w:rsidRPr="00DC5AED">
        <w:rPr>
          <w:lang w:val="en-US"/>
        </w:rPr>
        <w:t xml:space="preserve"> differentiation solution - homogeneous transparent light-brown odorless solution. Used to remove the excessive Weigert’s hematoxylin A.</w:t>
      </w:r>
    </w:p>
    <w:p w14:paraId="0B1D7AC3" w14:textId="05E282AB" w:rsidR="0019030C" w:rsidRPr="0019030C" w:rsidRDefault="0019030C" w:rsidP="0019030C">
      <w:pPr>
        <w:rPr>
          <w:lang w:val="en-US"/>
        </w:rPr>
      </w:pPr>
      <w:r w:rsidRPr="0019030C">
        <w:rPr>
          <w:lang w:val="en-US"/>
        </w:rPr>
        <w:t>The mechanism of interaction between hematoxylin and trivalent iron ions is not well understood. It is known that iron ions act as oxidants and as a mordant and thus the solution containing the mordant and the dye will be active only for a limited time. The correct selection of dye-to-mordant ratio is essential. Iron hematoxylin staining is more stable against weak acidic solutions, and thus is considered acid-resistant. Mordant makes the tissue more receptive to alcohol hematoxylin solution, and the differentiation solution removes the dye from the tissue due to its weak binding with the tissues.</w:t>
      </w:r>
    </w:p>
    <w:p w14:paraId="04FB3554" w14:textId="77777777" w:rsidR="0019030C" w:rsidRPr="0019030C" w:rsidRDefault="0019030C" w:rsidP="0019030C">
      <w:pPr>
        <w:rPr>
          <w:lang w:val="en-US"/>
        </w:rPr>
      </w:pPr>
      <w:r w:rsidRPr="0019030C">
        <w:rPr>
          <w:lang w:val="en-US"/>
        </w:rPr>
        <w:t>Cell nuclei, calcium deposits, fragments of muscle fibers with metabolic disruptions and some other structures are stained blue-black with hematoxylin within 3 to 10 minutes.</w:t>
      </w:r>
    </w:p>
    <w:p w14:paraId="34398A9E" w14:textId="77777777" w:rsidR="0019030C" w:rsidRPr="0019030C" w:rsidRDefault="0019030C" w:rsidP="0019030C">
      <w:pPr>
        <w:numPr>
          <w:ilvl w:val="0"/>
          <w:numId w:val="1"/>
        </w:numPr>
        <w:rPr>
          <w:lang w:val="en-US"/>
        </w:rPr>
      </w:pPr>
      <w:r w:rsidRPr="0019030C">
        <w:rPr>
          <w:lang w:val="en-US"/>
        </w:rPr>
        <w:t>Deparaffinize and rehydrate the sample with distilled water</w:t>
      </w:r>
    </w:p>
    <w:p w14:paraId="1E87A498" w14:textId="77777777" w:rsidR="0019030C" w:rsidRPr="0019030C" w:rsidRDefault="0019030C" w:rsidP="0019030C">
      <w:pPr>
        <w:numPr>
          <w:ilvl w:val="0"/>
          <w:numId w:val="1"/>
        </w:numPr>
        <w:rPr>
          <w:lang w:val="en-US"/>
        </w:rPr>
      </w:pPr>
      <w:r w:rsidRPr="0019030C">
        <w:rPr>
          <w:lang w:val="en-US"/>
        </w:rPr>
        <w:t>Place the slides into the humidity chamber. Apply the mordant and keep at +37C for 1 hour</w:t>
      </w:r>
    </w:p>
    <w:p w14:paraId="54C222D9" w14:textId="77777777" w:rsidR="0019030C" w:rsidRPr="0019030C" w:rsidRDefault="0019030C" w:rsidP="0019030C">
      <w:pPr>
        <w:numPr>
          <w:ilvl w:val="0"/>
          <w:numId w:val="1"/>
        </w:numPr>
        <w:rPr>
          <w:lang w:val="en-US"/>
        </w:rPr>
      </w:pPr>
      <w:r w:rsidRPr="0019030C">
        <w:rPr>
          <w:lang w:val="en-US"/>
        </w:rPr>
        <w:t>Wash in three changes of distilled water, 2 minutes each</w:t>
      </w:r>
    </w:p>
    <w:p w14:paraId="36BFD18C" w14:textId="77777777" w:rsidR="0019030C" w:rsidRPr="0019030C" w:rsidRDefault="0019030C" w:rsidP="0019030C">
      <w:pPr>
        <w:numPr>
          <w:ilvl w:val="0"/>
          <w:numId w:val="1"/>
        </w:numPr>
        <w:rPr>
          <w:lang w:val="en-US"/>
        </w:rPr>
      </w:pPr>
      <w:r w:rsidRPr="0019030C">
        <w:rPr>
          <w:lang w:val="en-US"/>
        </w:rPr>
        <w:t>Apply Weigert’s hematoxylin A for 10 minutes at room temperature</w:t>
      </w:r>
    </w:p>
    <w:p w14:paraId="77D6C538" w14:textId="77777777" w:rsidR="0019030C" w:rsidRPr="0019030C" w:rsidRDefault="0019030C" w:rsidP="0019030C">
      <w:pPr>
        <w:numPr>
          <w:ilvl w:val="0"/>
          <w:numId w:val="1"/>
        </w:numPr>
        <w:rPr>
          <w:lang w:val="en-US"/>
        </w:rPr>
      </w:pPr>
      <w:r w:rsidRPr="0019030C">
        <w:rPr>
          <w:lang w:val="en-US"/>
        </w:rPr>
        <w:t>Wash in distilled water for 2 minutes</w:t>
      </w:r>
    </w:p>
    <w:p w14:paraId="0558DBA0" w14:textId="77777777" w:rsidR="0019030C" w:rsidRPr="0019030C" w:rsidRDefault="0019030C" w:rsidP="0019030C">
      <w:pPr>
        <w:numPr>
          <w:ilvl w:val="0"/>
          <w:numId w:val="1"/>
        </w:numPr>
        <w:rPr>
          <w:lang w:val="en-US"/>
        </w:rPr>
      </w:pPr>
      <w:r w:rsidRPr="0019030C">
        <w:rPr>
          <w:lang w:val="en-US"/>
        </w:rPr>
        <w:t>Apply differentiation solution for 30-120 seconds, until the gray color develops. Monitor the color change under the microscope.</w:t>
      </w:r>
    </w:p>
    <w:p w14:paraId="3CEE3A5A" w14:textId="77777777" w:rsidR="0019030C" w:rsidRPr="0019030C" w:rsidRDefault="0019030C" w:rsidP="0019030C">
      <w:pPr>
        <w:numPr>
          <w:ilvl w:val="0"/>
          <w:numId w:val="1"/>
        </w:numPr>
        <w:rPr>
          <w:lang w:val="en-US"/>
        </w:rPr>
      </w:pPr>
      <w:r w:rsidRPr="0019030C">
        <w:rPr>
          <w:lang w:val="en-US"/>
        </w:rPr>
        <w:t>Wash in distilled water for 2 minutes</w:t>
      </w:r>
    </w:p>
    <w:p w14:paraId="1A417580" w14:textId="77777777" w:rsidR="0019030C" w:rsidRPr="0019030C" w:rsidRDefault="0019030C" w:rsidP="0019030C">
      <w:pPr>
        <w:numPr>
          <w:ilvl w:val="0"/>
          <w:numId w:val="1"/>
        </w:numPr>
        <w:rPr>
          <w:lang w:val="en-US"/>
        </w:rPr>
      </w:pPr>
      <w:r w:rsidRPr="0019030C">
        <w:rPr>
          <w:lang w:val="en-US"/>
        </w:rPr>
        <w:t>Dehydrate, clear in xylene, mount</w:t>
      </w:r>
    </w:p>
    <w:p w14:paraId="0223ADB9" w14:textId="77777777" w:rsidR="0019030C" w:rsidRPr="00DC5AED" w:rsidRDefault="0019030C">
      <w:pPr>
        <w:rPr>
          <w:lang w:val="en-US"/>
        </w:rPr>
      </w:pPr>
    </w:p>
    <w:p w14:paraId="2F3C9F75" w14:textId="5DB320FD" w:rsidR="005C39D5" w:rsidRDefault="005C39D5">
      <w:pPr>
        <w:rPr>
          <w:lang w:val="en-US"/>
        </w:rPr>
      </w:pPr>
      <w:r>
        <w:rPr>
          <w:lang w:val="en-US"/>
        </w:rPr>
        <w:br w:type="page"/>
      </w:r>
    </w:p>
    <w:p w14:paraId="295F22FF" w14:textId="7113D9AB" w:rsidR="005C39D5" w:rsidRDefault="005C39D5" w:rsidP="005C39D5">
      <w:pPr>
        <w:rPr>
          <w:b/>
          <w:bCs/>
          <w:lang w:val="en-US"/>
        </w:rPr>
      </w:pPr>
      <w:r>
        <w:rPr>
          <w:noProof/>
        </w:rPr>
        <w:lastRenderedPageBreak/>
        <w:drawing>
          <wp:inline distT="0" distB="0" distL="0" distR="0" wp14:anchorId="541A763D" wp14:editId="4E6D8F98">
            <wp:extent cx="5940425" cy="3618865"/>
            <wp:effectExtent l="0" t="0" r="0" b="635"/>
            <wp:docPr id="1265783486" name="Рисунок 2" descr="Изображение выглядит как текст, снимок экрана, Красочность, График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783486" name="Рисунок 2" descr="Изображение выглядит как текст, снимок экрана, Красочность, График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1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CFA2F" w14:textId="02B2ECE1" w:rsidR="005C39D5" w:rsidRPr="0038378B" w:rsidRDefault="005C39D5" w:rsidP="005C39D5">
      <w:pPr>
        <w:rPr>
          <w:lang w:val="en-US"/>
        </w:rPr>
      </w:pPr>
      <w:r>
        <w:rPr>
          <w:b/>
          <w:bCs/>
          <w:lang w:val="en-US"/>
        </w:rPr>
        <w:t>Figure S1.</w:t>
      </w:r>
      <w:r w:rsidR="0038378B">
        <w:rPr>
          <w:b/>
          <w:bCs/>
          <w:lang w:val="en-US"/>
        </w:rPr>
        <w:t xml:space="preserve"> </w:t>
      </w:r>
      <w:r w:rsidR="0038378B">
        <w:rPr>
          <w:lang w:val="en-US"/>
        </w:rPr>
        <w:t xml:space="preserve">Sequence traces of </w:t>
      </w:r>
      <w:proofErr w:type="spellStart"/>
      <w:r w:rsidR="0038378B" w:rsidRPr="0038378B">
        <w:rPr>
          <w:i/>
          <w:iCs/>
          <w:lang w:val="en-US"/>
        </w:rPr>
        <w:t>Dmd</w:t>
      </w:r>
      <w:proofErr w:type="spellEnd"/>
      <w:r w:rsidR="0038378B">
        <w:rPr>
          <w:i/>
          <w:iCs/>
          <w:lang w:val="en-US"/>
        </w:rPr>
        <w:t xml:space="preserve"> </w:t>
      </w:r>
      <w:r w:rsidR="0038378B">
        <w:rPr>
          <w:lang w:val="en-US"/>
        </w:rPr>
        <w:t>mutation region in wild-type sample, and F0 and F4 generation mice samples. Yellow box corresponds to nucleotide position, at which insertions T or G occurred in insT and insG lines, respectively.</w:t>
      </w:r>
    </w:p>
    <w:p w14:paraId="64FB7B10" w14:textId="05A068EA" w:rsidR="005C39D5" w:rsidRDefault="005C39D5">
      <w:pPr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5CC5BD8B" wp14:editId="5C2A8705">
            <wp:extent cx="5940425" cy="3960495"/>
            <wp:effectExtent l="0" t="0" r="3175" b="1905"/>
            <wp:docPr id="516748372" name="Рисунок 1" descr="Изображение выглядит как Детское искусство, фиолетовый, розовый, Сирень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748372" name="Рисунок 1" descr="Изображение выглядит как Детское искусство, фиолетовый, розовый, Сирень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EF008" w14:textId="20DEE75B" w:rsidR="00976A7E" w:rsidRPr="00EE2B5C" w:rsidRDefault="005C39D5">
      <w:pPr>
        <w:rPr>
          <w:rFonts w:eastAsia="SimSun-ExtB"/>
        </w:rPr>
      </w:pPr>
      <w:r w:rsidRPr="00DC5AED">
        <w:rPr>
          <w:b/>
          <w:bCs/>
          <w:lang w:val="en-US"/>
        </w:rPr>
        <w:t>Figure S</w:t>
      </w:r>
      <w:r>
        <w:rPr>
          <w:b/>
          <w:bCs/>
          <w:lang w:val="en-US"/>
        </w:rPr>
        <w:t>2</w:t>
      </w:r>
      <w:r w:rsidRPr="00DC5AED">
        <w:rPr>
          <w:b/>
          <w:bCs/>
          <w:lang w:val="en-US"/>
        </w:rPr>
        <w:t xml:space="preserve">. </w:t>
      </w:r>
      <w:r w:rsidR="0038378B">
        <w:rPr>
          <w:lang w:val="en-US"/>
        </w:rPr>
        <w:t>Cross sections of diaphragms (</w:t>
      </w:r>
      <w:r w:rsidR="0038378B">
        <w:rPr>
          <w:b/>
          <w:bCs/>
          <w:lang w:val="en-US"/>
        </w:rPr>
        <w:t>A</w:t>
      </w:r>
      <w:r w:rsidR="0038378B" w:rsidRPr="0038378B">
        <w:rPr>
          <w:lang w:val="en-US"/>
        </w:rPr>
        <w:t>–</w:t>
      </w:r>
      <w:r w:rsidR="0038378B">
        <w:rPr>
          <w:b/>
          <w:bCs/>
          <w:lang w:val="en-US"/>
        </w:rPr>
        <w:t>C</w:t>
      </w:r>
      <w:r w:rsidR="0038378B" w:rsidRPr="0038378B">
        <w:rPr>
          <w:lang w:val="en-US"/>
        </w:rPr>
        <w:t>)</w:t>
      </w:r>
      <w:r w:rsidR="0038378B">
        <w:rPr>
          <w:b/>
          <w:bCs/>
          <w:lang w:val="en-US"/>
        </w:rPr>
        <w:t xml:space="preserve"> </w:t>
      </w:r>
      <w:r w:rsidR="0038378B">
        <w:rPr>
          <w:lang w:val="en-US"/>
        </w:rPr>
        <w:t>and skeletal (gastrocnemius) muscles (</w:t>
      </w:r>
      <w:r w:rsidR="0038378B">
        <w:rPr>
          <w:b/>
          <w:bCs/>
          <w:lang w:val="en-US"/>
        </w:rPr>
        <w:t>D</w:t>
      </w:r>
      <w:r w:rsidR="0038378B" w:rsidRPr="0038378B">
        <w:rPr>
          <w:lang w:val="en-US"/>
        </w:rPr>
        <w:t>–</w:t>
      </w:r>
      <w:r w:rsidR="0038378B">
        <w:rPr>
          <w:b/>
          <w:bCs/>
          <w:lang w:val="en-US"/>
        </w:rPr>
        <w:t>F</w:t>
      </w:r>
      <w:r w:rsidR="0038378B">
        <w:rPr>
          <w:lang w:val="en-US"/>
        </w:rPr>
        <w:t xml:space="preserve">), H&amp;E staining. </w:t>
      </w:r>
      <w:r w:rsidR="0038378B" w:rsidRPr="0038378B">
        <w:rPr>
          <w:lang w:val="en-US"/>
        </w:rPr>
        <w:t>(</w:t>
      </w:r>
      <w:r w:rsidR="0038378B">
        <w:rPr>
          <w:lang w:val="en-US"/>
        </w:rPr>
        <w:t>A, D</w:t>
      </w:r>
      <w:r w:rsidR="0038378B" w:rsidRPr="0038378B">
        <w:rPr>
          <w:lang w:val="en-US"/>
        </w:rPr>
        <w:t>)</w:t>
      </w:r>
      <w:r w:rsidR="0038378B">
        <w:rPr>
          <w:lang w:val="en-US"/>
        </w:rPr>
        <w:t xml:space="preserve"> — insG 1 week old mouse, (B, E) — insT 3 weeks old mouse, (C, F) — wild-type mouse. Black arrows </w:t>
      </w:r>
      <w:r w:rsidR="0038378B">
        <w:rPr>
          <w:lang w:val="en-US"/>
        </w:rPr>
        <w:t>—</w:t>
      </w:r>
      <w:r w:rsidR="0038378B" w:rsidRPr="0038378B">
        <w:rPr>
          <w:lang w:val="en-US"/>
        </w:rPr>
        <w:t xml:space="preserve"> </w:t>
      </w:r>
      <w:r w:rsidR="0038378B">
        <w:rPr>
          <w:lang w:val="en-US"/>
        </w:rPr>
        <w:t xml:space="preserve">fibrosis and necrotic muscle fibers, red arrows </w:t>
      </w:r>
      <w:r w:rsidR="0038378B">
        <w:rPr>
          <w:lang w:val="en-US"/>
        </w:rPr>
        <w:t>—</w:t>
      </w:r>
      <w:r w:rsidR="0038378B">
        <w:rPr>
          <w:lang w:val="en-US"/>
        </w:rPr>
        <w:t xml:space="preserve"> centrally nucleated fibers. Scale bar: 100 </w:t>
      </w:r>
      <w:proofErr w:type="spellStart"/>
      <w:r w:rsidR="0038378B" w:rsidRPr="00DC5AED">
        <w:rPr>
          <w:lang w:val="en-US"/>
        </w:rPr>
        <w:t>μm</w:t>
      </w:r>
      <w:proofErr w:type="spellEnd"/>
      <w:r w:rsidR="00EE2B5C">
        <w:rPr>
          <w:rFonts w:eastAsia="SimSun-ExtB"/>
        </w:rPr>
        <w:t>.</w:t>
      </w:r>
    </w:p>
    <w:p w14:paraId="6DE70544" w14:textId="50B71AE7" w:rsidR="00976A7E" w:rsidRPr="00976A7E" w:rsidRDefault="00976A7E" w:rsidP="00976A7E">
      <w:pPr>
        <w:rPr>
          <w:lang w:val="en-US"/>
        </w:rPr>
      </w:pPr>
      <w:r w:rsidRPr="00DC5AED">
        <w:rPr>
          <w:b/>
          <w:bCs/>
          <w:noProof/>
          <w:lang w:val="en-US"/>
        </w:rPr>
        <w:lastRenderedPageBreak/>
        <w:drawing>
          <wp:inline distT="0" distB="0" distL="0" distR="0" wp14:anchorId="56574B0D" wp14:editId="621CCBA2">
            <wp:extent cx="5940425" cy="2427605"/>
            <wp:effectExtent l="0" t="0" r="3175" b="0"/>
            <wp:docPr id="100009674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2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B3253" w14:textId="1A3DC674" w:rsidR="00976A7E" w:rsidRPr="00DC5AED" w:rsidRDefault="00976A7E" w:rsidP="00976A7E">
      <w:pPr>
        <w:rPr>
          <w:lang w:val="en-US"/>
        </w:rPr>
      </w:pPr>
      <w:r w:rsidRPr="00DC5AED">
        <w:rPr>
          <w:b/>
          <w:bCs/>
          <w:lang w:val="en-US"/>
        </w:rPr>
        <w:t>Fig</w:t>
      </w:r>
      <w:r w:rsidR="00984E76" w:rsidRPr="00DC5AED">
        <w:rPr>
          <w:b/>
          <w:bCs/>
          <w:lang w:val="en-US"/>
        </w:rPr>
        <w:t>ure S</w:t>
      </w:r>
      <w:r w:rsidR="005C39D5">
        <w:rPr>
          <w:b/>
          <w:bCs/>
          <w:lang w:val="en-US"/>
        </w:rPr>
        <w:t>3</w:t>
      </w:r>
      <w:r w:rsidR="00984E76" w:rsidRPr="00DC5AED">
        <w:rPr>
          <w:b/>
          <w:bCs/>
          <w:lang w:val="en-US"/>
        </w:rPr>
        <w:t xml:space="preserve">. </w:t>
      </w:r>
      <w:r w:rsidRPr="00DC5AED">
        <w:rPr>
          <w:lang w:val="en-US"/>
        </w:rPr>
        <w:t xml:space="preserve">Immunofluorescence staining on FFPE tissues, insT gastrocnemius muscles. Alexa Fluor ® 488 only. Nuclear staining: Hoechst 33342 . Scale bar: 50 </w:t>
      </w:r>
      <w:proofErr w:type="spellStart"/>
      <w:r w:rsidRPr="00DC5AED">
        <w:rPr>
          <w:lang w:val="en-US"/>
        </w:rPr>
        <w:t>μm</w:t>
      </w:r>
      <w:proofErr w:type="spellEnd"/>
    </w:p>
    <w:sectPr w:rsidR="00976A7E" w:rsidRPr="00DC5A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EF29B4" w14:textId="77777777" w:rsidR="00D44573" w:rsidRDefault="00D44573" w:rsidP="0038378B">
      <w:pPr>
        <w:spacing w:after="0" w:line="240" w:lineRule="auto"/>
      </w:pPr>
      <w:r>
        <w:separator/>
      </w:r>
    </w:p>
  </w:endnote>
  <w:endnote w:type="continuationSeparator" w:id="0">
    <w:p w14:paraId="5183AEBE" w14:textId="77777777" w:rsidR="00D44573" w:rsidRDefault="00D44573" w:rsidP="003837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-ExtB">
    <w:panose1 w:val="02010609060101010101"/>
    <w:charset w:val="86"/>
    <w:family w:val="modern"/>
    <w:pitch w:val="fixed"/>
    <w:sig w:usb0="00000003" w:usb1="0A0E0000" w:usb2="00000010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B535C2" w14:textId="77777777" w:rsidR="00D44573" w:rsidRDefault="00D44573" w:rsidP="0038378B">
      <w:pPr>
        <w:spacing w:after="0" w:line="240" w:lineRule="auto"/>
      </w:pPr>
      <w:r>
        <w:separator/>
      </w:r>
    </w:p>
  </w:footnote>
  <w:footnote w:type="continuationSeparator" w:id="0">
    <w:p w14:paraId="572EAE60" w14:textId="77777777" w:rsidR="00D44573" w:rsidRDefault="00D44573" w:rsidP="0038378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5C2872"/>
    <w:multiLevelType w:val="hybridMultilevel"/>
    <w:tmpl w:val="213C59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360744"/>
    <w:multiLevelType w:val="hybridMultilevel"/>
    <w:tmpl w:val="FBD6E1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FE620B"/>
    <w:multiLevelType w:val="multilevel"/>
    <w:tmpl w:val="3A1A87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D2D0B3C"/>
    <w:multiLevelType w:val="multilevel"/>
    <w:tmpl w:val="3B627A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070029962">
    <w:abstractNumId w:val="3"/>
  </w:num>
  <w:num w:numId="2" w16cid:durableId="1511024851">
    <w:abstractNumId w:val="2"/>
  </w:num>
  <w:num w:numId="3" w16cid:durableId="791286131">
    <w:abstractNumId w:val="1"/>
  </w:num>
  <w:num w:numId="4" w16cid:durableId="11499793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030C"/>
    <w:rsid w:val="0019030C"/>
    <w:rsid w:val="001A79D8"/>
    <w:rsid w:val="003349B4"/>
    <w:rsid w:val="0038378B"/>
    <w:rsid w:val="005C39D5"/>
    <w:rsid w:val="007933E7"/>
    <w:rsid w:val="008A696E"/>
    <w:rsid w:val="00976A7E"/>
    <w:rsid w:val="00984E76"/>
    <w:rsid w:val="00BD3F1C"/>
    <w:rsid w:val="00C33875"/>
    <w:rsid w:val="00C67D66"/>
    <w:rsid w:val="00D44573"/>
    <w:rsid w:val="00DC150A"/>
    <w:rsid w:val="00DC5AED"/>
    <w:rsid w:val="00ED09D2"/>
    <w:rsid w:val="00EE2B5C"/>
    <w:rsid w:val="00F52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A5FB7E"/>
  <w15:chartTrackingRefBased/>
  <w15:docId w15:val="{3C69E69F-BA0D-4F4E-8925-7DF4A2960E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9030C"/>
    <w:rPr>
      <w:rFonts w:ascii="Calibri" w:hAnsi="Calibri" w:cs="Calibri"/>
    </w:rPr>
  </w:style>
  <w:style w:type="paragraph" w:styleId="1">
    <w:name w:val="heading 1"/>
    <w:basedOn w:val="a"/>
    <w:next w:val="a"/>
    <w:link w:val="10"/>
    <w:uiPriority w:val="9"/>
    <w:qFormat/>
    <w:rsid w:val="001A79D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A79D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A79D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A79D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A79D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A79D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A79D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A79D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A79D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A79D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1A79D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1A79D8"/>
    <w:rPr>
      <w:rFonts w:ascii="Calibri" w:eastAsiaTheme="majorEastAsia" w:hAnsi="Calibri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1A79D8"/>
    <w:rPr>
      <w:rFonts w:ascii="Calibri" w:eastAsiaTheme="majorEastAsia" w:hAnsi="Calibri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1A79D8"/>
    <w:rPr>
      <w:rFonts w:ascii="Calibri" w:eastAsiaTheme="majorEastAsia" w:hAnsi="Calibri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1A79D8"/>
    <w:rPr>
      <w:rFonts w:ascii="Calibri" w:eastAsiaTheme="majorEastAsia" w:hAnsi="Calibri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1A79D8"/>
    <w:rPr>
      <w:rFonts w:ascii="Calibri" w:eastAsiaTheme="majorEastAsia" w:hAnsi="Calibri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1A79D8"/>
    <w:rPr>
      <w:rFonts w:ascii="Calibri" w:eastAsiaTheme="majorEastAsia" w:hAnsi="Calibri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1A79D8"/>
    <w:rPr>
      <w:rFonts w:ascii="Calibri" w:eastAsiaTheme="majorEastAsia" w:hAnsi="Calibri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19030C"/>
    <w:pPr>
      <w:spacing w:after="80" w:line="240" w:lineRule="auto"/>
      <w:contextualSpacing/>
    </w:pPr>
    <w:rPr>
      <w:rFonts w:ascii="Arial" w:eastAsiaTheme="majorEastAsia" w:hAnsi="Arial" w:cstheme="majorBidi"/>
      <w:spacing w:val="-10"/>
      <w:kern w:val="28"/>
      <w:sz w:val="36"/>
      <w:szCs w:val="56"/>
    </w:rPr>
  </w:style>
  <w:style w:type="character" w:customStyle="1" w:styleId="a4">
    <w:name w:val="Заголовок Знак"/>
    <w:basedOn w:val="a0"/>
    <w:link w:val="a3"/>
    <w:uiPriority w:val="10"/>
    <w:rsid w:val="0019030C"/>
    <w:rPr>
      <w:rFonts w:ascii="Arial" w:eastAsiaTheme="majorEastAsia" w:hAnsi="Arial" w:cstheme="majorBidi"/>
      <w:spacing w:val="-10"/>
      <w:kern w:val="28"/>
      <w:sz w:val="3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A79D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1A79D8"/>
    <w:rPr>
      <w:rFonts w:ascii="Calibri" w:eastAsiaTheme="majorEastAsia" w:hAnsi="Calibri" w:cstheme="majorBidi"/>
      <w:color w:val="595959" w:themeColor="text1" w:themeTint="A6"/>
      <w:spacing w:val="15"/>
      <w:sz w:val="28"/>
      <w:szCs w:val="28"/>
    </w:rPr>
  </w:style>
  <w:style w:type="paragraph" w:styleId="a7">
    <w:name w:val="List Paragraph"/>
    <w:basedOn w:val="a"/>
    <w:uiPriority w:val="34"/>
    <w:qFormat/>
    <w:rsid w:val="001A79D8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1A79D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1A79D8"/>
    <w:rPr>
      <w:rFonts w:ascii="Calibri" w:hAnsi="Calibri" w:cs="Calibri"/>
      <w:i/>
      <w:iCs/>
      <w:color w:val="404040" w:themeColor="text1" w:themeTint="BF"/>
    </w:rPr>
  </w:style>
  <w:style w:type="paragraph" w:styleId="a8">
    <w:name w:val="Intense Quote"/>
    <w:basedOn w:val="a"/>
    <w:next w:val="a"/>
    <w:link w:val="a9"/>
    <w:uiPriority w:val="30"/>
    <w:qFormat/>
    <w:rsid w:val="001A79D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9">
    <w:name w:val="Выделенная цитата Знак"/>
    <w:basedOn w:val="a0"/>
    <w:link w:val="a8"/>
    <w:uiPriority w:val="30"/>
    <w:rsid w:val="001A79D8"/>
    <w:rPr>
      <w:rFonts w:ascii="Calibri" w:hAnsi="Calibri" w:cs="Calibri"/>
      <w:i/>
      <w:iCs/>
      <w:color w:val="0F4761" w:themeColor="accent1" w:themeShade="BF"/>
    </w:rPr>
  </w:style>
  <w:style w:type="character" w:styleId="aa">
    <w:name w:val="Intense Emphasis"/>
    <w:basedOn w:val="a0"/>
    <w:uiPriority w:val="21"/>
    <w:qFormat/>
    <w:rsid w:val="001A79D8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1A79D8"/>
    <w:rPr>
      <w:b/>
      <w:bCs/>
      <w:smallCaps/>
      <w:color w:val="0F4761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19030C"/>
    <w:rPr>
      <w:color w:val="467886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19030C"/>
    <w:rPr>
      <w:color w:val="605E5C"/>
      <w:shd w:val="clear" w:color="auto" w:fill="E1DFDD"/>
    </w:rPr>
  </w:style>
  <w:style w:type="character" w:styleId="ae">
    <w:name w:val="Book Title"/>
    <w:basedOn w:val="a0"/>
    <w:uiPriority w:val="33"/>
    <w:qFormat/>
    <w:rsid w:val="0019030C"/>
    <w:rPr>
      <w:rFonts w:ascii="Calibri" w:hAnsi="Calibri"/>
      <w:b/>
      <w:bCs/>
      <w:i/>
      <w:iCs/>
      <w:spacing w:val="5"/>
    </w:rPr>
  </w:style>
  <w:style w:type="character" w:styleId="af">
    <w:name w:val="FollowedHyperlink"/>
    <w:basedOn w:val="a0"/>
    <w:uiPriority w:val="99"/>
    <w:semiHidden/>
    <w:unhideWhenUsed/>
    <w:rsid w:val="0019030C"/>
    <w:rPr>
      <w:color w:val="96607D" w:themeColor="followedHyperlink"/>
      <w:u w:val="single"/>
    </w:rPr>
  </w:style>
  <w:style w:type="paragraph" w:styleId="af0">
    <w:name w:val="header"/>
    <w:basedOn w:val="a"/>
    <w:link w:val="af1"/>
    <w:uiPriority w:val="99"/>
    <w:unhideWhenUsed/>
    <w:rsid w:val="003837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rsid w:val="0038378B"/>
    <w:rPr>
      <w:rFonts w:ascii="Calibri" w:hAnsi="Calibri" w:cs="Calibri"/>
    </w:rPr>
  </w:style>
  <w:style w:type="paragraph" w:styleId="af2">
    <w:name w:val="footer"/>
    <w:basedOn w:val="a"/>
    <w:link w:val="af3"/>
    <w:uiPriority w:val="99"/>
    <w:unhideWhenUsed/>
    <w:rsid w:val="003837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38378B"/>
    <w:rPr>
      <w:rFonts w:ascii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174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7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8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6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7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995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921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458995">
                  <w:marLeft w:val="360"/>
                  <w:marRight w:val="9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1019</TotalTime>
  <Pages>3</Pages>
  <Words>400</Words>
  <Characters>2286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Leonid Ilchuk</dc:creator>
  <cp:keywords/>
  <dc:description/>
  <cp:lastModifiedBy>Leonid Ilchuk</cp:lastModifiedBy>
  <cp:revision>8</cp:revision>
  <dcterms:created xsi:type="dcterms:W3CDTF">2024-10-28T15:30:00Z</dcterms:created>
  <dcterms:modified xsi:type="dcterms:W3CDTF">2024-12-04T15:14:00Z</dcterms:modified>
</cp:coreProperties>
</file>